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pacing w:val="-6"/>
          <w:sz w:val="24"/>
          <w:szCs w:val="24"/>
        </w:rPr>
      </w:pPr>
    </w:p>
    <w:tbl>
      <w:tblPr>
        <w:tblStyle w:val="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5"/>
              <w:framePr w:wrap="notBeside" w:vAnchor="page" w:hAnchor="page" w:x="1372" w:y="568"/>
              <w:tabs>
                <w:tab w:val="clear" w:pos="4153"/>
                <w:tab w:val="clear" w:pos="8306"/>
              </w:tabs>
              <w:spacing w:line="240" w:lineRule="auto"/>
              <w:jc w:val="left"/>
              <w:rPr>
                <w:rFonts w:hint="eastAsia" w:ascii="黑体" w:hAnsi="黑体" w:eastAsia="黑体"/>
                <w:sz w:val="21"/>
                <w:szCs w:val="21"/>
                <w:lang w:eastAsia="zh-CN"/>
              </w:rPr>
            </w:pPr>
            <w:r>
              <w:rPr>
                <w:rFonts w:ascii="Times New Roman" w:hAnsi="Times New Roman" w:eastAsia="黑体"/>
                <w:sz w:val="21"/>
                <w:szCs w:val="21"/>
              </w:rPr>
              <w:t>ICS</w:t>
            </w:r>
            <w:r>
              <w:rPr>
                <w:rFonts w:hint="eastAsia" w:ascii="黑体" w:hAnsi="黑体" w:eastAsia="黑体"/>
                <w:sz w:val="21"/>
                <w:szCs w:val="21"/>
                <w:lang w:eastAsia="zh-CN"/>
              </w:rPr>
              <w:t xml:space="preserve"> </w:t>
            </w:r>
          </w:p>
        </w:tc>
        <w:tc>
          <w:tcPr>
            <w:tcW w:w="8855" w:type="dxa"/>
          </w:tcPr>
          <w:p>
            <w:pPr>
              <w:pStyle w:val="5"/>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5"/>
              <w:framePr w:wrap="notBeside" w:vAnchor="page" w:hAnchor="page" w:x="1372" w:y="568"/>
              <w:tabs>
                <w:tab w:val="clear" w:pos="4153"/>
                <w:tab w:val="clear" w:pos="8306"/>
              </w:tabs>
              <w:spacing w:before="40" w:line="240" w:lineRule="auto"/>
              <w:jc w:val="left"/>
              <w:rPr>
                <w:rFonts w:hint="eastAsia" w:ascii="黑体" w:hAnsi="黑体" w:eastAsia="黑体"/>
                <w:sz w:val="21"/>
                <w:szCs w:val="21"/>
                <w:lang w:eastAsia="zh-CN"/>
              </w:rPr>
            </w:pPr>
            <w:r>
              <w:rPr>
                <w:rFonts w:ascii="Times New Roman" w:hAnsi="Times New Roman" w:eastAsia="黑体"/>
                <w:sz w:val="21"/>
                <w:szCs w:val="21"/>
              </w:rPr>
              <w:t>CCS</w:t>
            </w:r>
            <w:r>
              <w:rPr>
                <w:rFonts w:hint="eastAsia" w:ascii="Times New Roman" w:hAnsi="Times New Roman" w:eastAsia="黑体"/>
                <w:sz w:val="21"/>
                <w:szCs w:val="21"/>
                <w:lang w:eastAsia="zh-CN"/>
              </w:rPr>
              <w:t xml:space="preserve"> </w:t>
            </w:r>
          </w:p>
        </w:tc>
        <w:tc>
          <w:tcPr>
            <w:tcW w:w="8855" w:type="dxa"/>
          </w:tcPr>
          <w:p>
            <w:pPr>
              <w:pStyle w:val="5"/>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w:t>
            </w:r>
            <w:r>
              <w:rPr>
                <w:rFonts w:ascii="黑体" w:hAnsi="黑体" w:eastAsia="黑体"/>
                <w:sz w:val="21"/>
                <w:szCs w:val="21"/>
              </w:rPr>
              <w:fldChar w:fldCharType="end"/>
            </w:r>
            <w:bookmarkEnd w:id="1"/>
          </w:p>
        </w:tc>
      </w:tr>
    </w:tbl>
    <w:tbl>
      <w:tblPr>
        <w:tblStyle w:val="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1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12</w:t>
            </w:r>
            <w:r>
              <w:fldChar w:fldCharType="end"/>
            </w:r>
            <w:bookmarkEnd w:id="3"/>
          </w:p>
        </w:tc>
      </w:tr>
    </w:tbl>
    <w:p>
      <w:pPr>
        <w:pStyle w:val="1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天津市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5"/>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12</w:t>
      </w:r>
      <w:r>
        <w:fldChar w:fldCharType="end"/>
      </w:r>
      <w:bookmarkEnd w:id="5"/>
      <w:r>
        <w:rPr>
          <w:rFonts w:hint="eastAsia"/>
        </w:rPr>
        <w:t>/</w:t>
      </w:r>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14"/>
        <w:framePr w:w="9639" w:h="6976" w:hRule="exact" w:hSpace="0" w:vSpace="0" w:wrap="around" w:hAnchor="page" w:y="6408"/>
        <w:jc w:val="center"/>
        <w:rPr>
          <w:rFonts w:ascii="黑体" w:hAnsi="黑体" w:eastAsia="黑体"/>
          <w:b w:val="0"/>
          <w:bCs w:val="0"/>
          <w:w w:val="100"/>
        </w:rPr>
      </w:pPr>
    </w:p>
    <w:p>
      <w:pPr>
        <w:pStyle w:val="18"/>
        <w:framePr w:h="6974" w:hRule="exact" w:wrap="around" w:x="1419" w:anchorLock="1"/>
      </w:pPr>
      <w:r>
        <w:rPr>
          <w:rFonts w:hint="eastAsia"/>
        </w:rPr>
        <w:t>危险废物焚烧</w:t>
      </w:r>
      <w:r>
        <w:rPr>
          <w:rFonts w:hint="eastAsia"/>
          <w:lang w:eastAsia="zh-CN"/>
        </w:rPr>
        <w:t>大气污染物排放</w:t>
      </w:r>
      <w:r>
        <w:rPr>
          <w:rFonts w:hint="eastAsia"/>
        </w:rPr>
        <w:t>标准</w:t>
      </w:r>
    </w:p>
    <w:p>
      <w:pPr>
        <w:framePr w:w="9639" w:h="6974" w:hRule="exact" w:wrap="around" w:vAnchor="page" w:hAnchor="page" w:x="1419" w:y="6408" w:anchorLock="1"/>
        <w:ind w:left="-1418"/>
      </w:pPr>
    </w:p>
    <w:p>
      <w:pPr>
        <w:pStyle w:val="19"/>
        <w:framePr w:w="9639" w:h="6974" w:hRule="exact" w:wrap="around" w:vAnchor="page" w:hAnchor="page" w:x="1419" w:y="6408" w:anchorLock="1"/>
        <w:textAlignment w:val="bottom"/>
        <w:rPr>
          <w:rFonts w:eastAsia="黑体"/>
          <w:szCs w:val="28"/>
        </w:rPr>
      </w:pPr>
      <w:r>
        <w:rPr>
          <w:rFonts w:hint="eastAsia" w:eastAsia="黑体"/>
          <w:szCs w:val="28"/>
        </w:rPr>
        <w:t xml:space="preserve">Emission standards </w:t>
      </w:r>
      <w:r>
        <w:rPr>
          <w:rFonts w:hint="eastAsia" w:eastAsia="黑体"/>
          <w:szCs w:val="28"/>
          <w:lang w:val="en-US" w:eastAsia="zh-CN"/>
        </w:rPr>
        <w:t>o</w:t>
      </w:r>
      <w:r>
        <w:rPr>
          <w:rFonts w:hint="eastAsia" w:eastAsia="黑体"/>
          <w:szCs w:val="28"/>
        </w:rPr>
        <w:t>f a</w:t>
      </w:r>
      <w:r>
        <w:rPr>
          <w:rFonts w:hint="eastAsia" w:eastAsia="黑体"/>
          <w:szCs w:val="28"/>
          <w:lang w:val="en-US" w:eastAsia="zh-CN"/>
        </w:rPr>
        <w:t>ir</w:t>
      </w:r>
      <w:r>
        <w:rPr>
          <w:rFonts w:hint="eastAsia" w:eastAsia="黑体"/>
          <w:szCs w:val="28"/>
        </w:rPr>
        <w:t xml:space="preserve"> pollutants f</w:t>
      </w:r>
      <w:r>
        <w:rPr>
          <w:rFonts w:hint="eastAsia" w:eastAsia="黑体"/>
          <w:szCs w:val="28"/>
          <w:lang w:val="en-US" w:eastAsia="zh-CN"/>
        </w:rPr>
        <w:t>or</w:t>
      </w:r>
      <w:r>
        <w:rPr>
          <w:rFonts w:hint="eastAsia" w:eastAsia="黑体"/>
          <w:szCs w:val="28"/>
        </w:rPr>
        <w:t xml:space="preserve"> hazardous waste incineration</w:t>
      </w:r>
    </w:p>
    <w:p>
      <w:pPr>
        <w:framePr w:w="9639" w:h="6974" w:hRule="exact" w:wrap="around" w:vAnchor="page" w:hAnchor="page" w:x="1419" w:y="6408" w:anchorLock="1"/>
        <w:spacing w:line="760" w:lineRule="exact"/>
        <w:ind w:left="-1418"/>
      </w:pPr>
    </w:p>
    <w:p>
      <w:pPr>
        <w:pStyle w:val="19"/>
        <w:framePr w:w="9639" w:h="6974" w:hRule="exact" w:wrap="around" w:vAnchor="page" w:hAnchor="page" w:x="1419" w:y="6408" w:anchorLock="1"/>
        <w:textAlignment w:val="bottom"/>
        <w:rPr>
          <w:rFonts w:hint="eastAsia" w:eastAsia="黑体"/>
          <w:szCs w:val="28"/>
          <w:lang w:eastAsia="zh-CN"/>
        </w:rPr>
      </w:pPr>
      <w:r>
        <w:rPr>
          <w:rFonts w:hint="eastAsia" w:eastAsia="黑体"/>
          <w:szCs w:val="28"/>
          <w:lang w:eastAsia="zh-CN"/>
        </w:rPr>
        <w:t>（征求意见稿）</w:t>
      </w:r>
    </w:p>
    <w:p>
      <w:pPr>
        <w:pStyle w:val="19"/>
        <w:framePr w:w="9639" w:h="6974" w:hRule="exact" w:wrap="around" w:vAnchor="page" w:hAnchor="page" w:x="1419" w:y="6408" w:anchorLock="1"/>
        <w:spacing w:before="440" w:after="160"/>
        <w:textAlignment w:val="bottom"/>
        <w:rPr>
          <w:sz w:val="24"/>
          <w:szCs w:val="28"/>
        </w:rPr>
      </w:pPr>
    </w:p>
    <w:p>
      <w:pPr>
        <w:pStyle w:val="19"/>
        <w:framePr w:w="9639" w:h="6974" w:hRule="exact" w:wrap="around" w:vAnchor="page" w:hAnchor="page" w:x="1419" w:y="6408" w:anchorLock="1"/>
        <w:spacing w:before="180" w:line="240" w:lineRule="atLeast"/>
        <w:textAlignment w:val="bottom"/>
        <w:rPr>
          <w:sz w:val="21"/>
          <w:szCs w:val="28"/>
        </w:rPr>
      </w:pPr>
    </w:p>
    <w:p>
      <w:pPr>
        <w:pStyle w:val="19"/>
        <w:framePr w:w="9639" w:h="6974" w:hRule="exact" w:wrap="around" w:vAnchor="page" w:hAnchor="page" w:x="1419" w:y="6408" w:anchorLock="1"/>
        <w:spacing w:before="720" w:beforeLines="300" w:after="72" w:afterLines="30" w:line="240" w:lineRule="auto"/>
        <w:textAlignment w:val="bottom"/>
        <w:rPr>
          <w:b/>
          <w:sz w:val="21"/>
          <w:szCs w:val="28"/>
        </w:rPr>
      </w:pPr>
    </w:p>
    <w:p>
      <w:pPr>
        <w:pStyle w:val="20"/>
        <w:framePr w:wrap="around" w:y="14176"/>
      </w:pPr>
      <w:r>
        <w:rPr>
          <w:rFonts w:hint="eastAsia" w:ascii="黑体"/>
          <w:lang w:val="en-US" w:eastAsia="zh-CN"/>
        </w:rPr>
        <w:t>202</w:t>
      </w:r>
      <w:r>
        <w:rPr>
          <w:rFonts w:ascii="黑体"/>
        </w:rPr>
        <w:t>X</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pPr>
        <w:pStyle w:val="22"/>
        <w:framePr w:wrap="around" w:y="14176"/>
      </w:pPr>
      <w:r>
        <w:rPr>
          <w:rFonts w:hint="eastAsia" w:ascii="黑体"/>
          <w:lang w:val="en-US" w:eastAsia="zh-CN"/>
        </w:rPr>
        <w:t>202</w:t>
      </w:r>
      <w:r>
        <w:rPr>
          <w:rFonts w:ascii="黑体"/>
        </w:rPr>
        <w:t>X</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shd w:val="clear"/>
        </w:rPr>
        <w:fldChar w:fldCharType="begin">
          <w:ffData>
            <w:name w:val="CROT_DATE_D"/>
            <w:enabled/>
            <w:calcOnExit w:val="0"/>
            <w:textInput>
              <w:default w:val="XX"/>
              <w:maxLength w:val="2"/>
            </w:textInput>
          </w:ffData>
        </w:fldChar>
      </w:r>
      <w:bookmarkStart w:id="12" w:name="CROT_DATE_D"/>
      <w:r>
        <w:rPr>
          <w:rFonts w:ascii="黑体"/>
          <w:shd w:val="clear"/>
        </w:rPr>
        <w:instrText xml:space="preserve"> FORMTEXT </w:instrText>
      </w:r>
      <w:r>
        <w:rPr>
          <w:rFonts w:ascii="黑体"/>
          <w:shd w:val="clear"/>
        </w:rPr>
        <w:fldChar w:fldCharType="separate"/>
      </w:r>
      <w:r>
        <w:rPr>
          <w:rFonts w:ascii="黑体"/>
          <w:shd w:val="clear"/>
        </w:rPr>
        <w:t>XX</w:t>
      </w:r>
      <w:r>
        <w:rPr>
          <w:rFonts w:ascii="黑体"/>
          <w:shd w:val="clear"/>
        </w:rPr>
        <w:fldChar w:fldCharType="end"/>
      </w:r>
      <w:bookmarkEnd w:id="12"/>
      <w:r>
        <w:rPr>
          <w:rFonts w:hint="eastAsia"/>
        </w:rPr>
        <w:t>实施</w:t>
      </w:r>
    </w:p>
    <w:p>
      <w:pPr>
        <w:pStyle w:val="2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3" w:name="fm"/>
      <w:r>
        <w:rPr>
          <w:rFonts w:hAnsi="黑体"/>
          <w:w w:val="100"/>
          <w:sz w:val="28"/>
        </w:rPr>
        <w:instrText xml:space="preserve"> FORMTEXT </w:instrText>
      </w:r>
      <w:r>
        <w:rPr>
          <w:rFonts w:hAnsi="黑体"/>
          <w:w w:val="100"/>
          <w:sz w:val="28"/>
        </w:rPr>
        <w:fldChar w:fldCharType="separate"/>
      </w:r>
      <w:r>
        <w:rPr>
          <w:rFonts w:hAnsi="黑体"/>
          <w:w w:val="100"/>
          <w:sz w:val="28"/>
        </w:rPr>
        <w:t>天津市市场监督管理委员会</w:t>
      </w:r>
      <w:r>
        <w:rPr>
          <w:rFonts w:hAnsi="黑体"/>
          <w:w w:val="100"/>
          <w:sz w:val="28"/>
        </w:rPr>
        <w:fldChar w:fldCharType="end"/>
      </w:r>
      <w:bookmarkEnd w:id="13"/>
      <w:r>
        <w:rPr>
          <w:rFonts w:ascii="Times New Roman"/>
          <w:w w:val="100"/>
          <w:sz w:val="28"/>
        </w:rPr>
        <w:t>  </w:t>
      </w:r>
      <w:r>
        <w:rPr>
          <w:rStyle w:val="26"/>
          <w:rFonts w:hint="eastAsia" w:hAnsi="黑体"/>
          <w:position w:val="0"/>
        </w:rPr>
        <w:t>发</w:t>
      </w:r>
      <w:r>
        <w:rPr>
          <w:rStyle w:val="26"/>
          <w:rFonts w:hint="eastAsia" w:hAnsi="黑体"/>
          <w:spacing w:val="0"/>
          <w:position w:val="0"/>
        </w:rPr>
        <w:t>布</w:t>
      </w:r>
    </w:p>
    <w:p>
      <w:pPr>
        <w:rPr>
          <w:rFonts w:hint="default" w:eastAsiaTheme="minorEastAsia"/>
          <w:u w:val="none"/>
          <w:lang w:val="en-US" w:eastAsia="zh-CN"/>
        </w:rPr>
      </w:pPr>
      <w:r>
        <w:rPr>
          <w:rFonts w:hint="default" w:eastAsiaTheme="minorEastAsia"/>
          <w:u w:val="none"/>
          <w:lang w:val="en-US" w:eastAsia="zh-CN"/>
        </w:rPr>
        <w:br w:type="page"/>
      </w: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886460</wp:posOffset>
                </wp:positionH>
                <wp:positionV relativeFrom="page">
                  <wp:posOffset>9371330</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9.8pt;margin-top:737.9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Kz0JtgAAAAOAQAADwAAAAAAAAABACAAAAA4AAAAZHJzL2Rvd25yZXYueG1s&#10;UEsBAhQAFAAAAAgAh07iQE3UVwTiAQAAqgMAAA4AAAAAAAAAAQAgAAAAPQEAAGRycy9lMm9Eb2Mu&#10;eG1sUEsFBgAAAAAGAAYAWQEAAJEFAAAAAA==&#10;">
                <v:fill on="f" focussize="0,0"/>
                <v:stroke color="#000000" joinstyle="round"/>
                <v:imagedata o:title=""/>
                <o:lock v:ext="edit" aspectratio="f"/>
              </v:line>
            </w:pict>
          </mc:Fallback>
        </mc:AlternateContent>
      </w:r>
    </w:p>
    <w:p>
      <w:pPr>
        <w:spacing w:line="187" w:lineRule="auto"/>
        <w:rPr>
          <w:sz w:val="24"/>
          <w:szCs w:val="24"/>
        </w:rPr>
        <w:sectPr>
          <w:type w:val="continuous"/>
          <w:pgSz w:w="11906" w:h="16838"/>
          <w:pgMar w:top="261" w:right="819" w:bottom="0" w:left="375" w:header="0" w:footer="0" w:gutter="0"/>
          <w:cols w:equalWidth="0" w:num="1">
            <w:col w:w="10711"/>
          </w:cols>
        </w:sectPr>
      </w:pPr>
    </w:p>
    <w:p>
      <w:pPr>
        <w:pStyle w:val="3"/>
        <w:spacing w:before="304" w:line="228" w:lineRule="auto"/>
        <w:ind w:left="4294"/>
        <w:outlineLvl w:val="0"/>
        <w:rPr>
          <w:sz w:val="31"/>
          <w:szCs w:val="31"/>
        </w:rPr>
      </w:pPr>
      <w:bookmarkStart w:id="14" w:name="_Toc21739"/>
      <w:bookmarkStart w:id="15" w:name="_Toc1400"/>
      <w:bookmarkStart w:id="16" w:name="_Toc10674"/>
      <w:r>
        <w:rPr>
          <w:spacing w:val="-22"/>
          <w:sz w:val="31"/>
          <w:szCs w:val="31"/>
        </w:rPr>
        <w:t>目</w:t>
      </w:r>
      <w:r>
        <w:rPr>
          <w:rFonts w:hint="eastAsia"/>
          <w:spacing w:val="8"/>
          <w:sz w:val="31"/>
          <w:szCs w:val="31"/>
          <w:lang w:eastAsia="zh-CN"/>
        </w:rPr>
        <w:t xml:space="preserve">  </w:t>
      </w:r>
      <w:r>
        <w:rPr>
          <w:spacing w:val="-22"/>
          <w:sz w:val="31"/>
          <w:szCs w:val="31"/>
        </w:rPr>
        <w:t>次</w:t>
      </w:r>
      <w:bookmarkEnd w:id="14"/>
      <w:bookmarkEnd w:id="15"/>
      <w:bookmarkEnd w:id="16"/>
    </w:p>
    <w:p>
      <w:pPr>
        <w:spacing w:line="311" w:lineRule="auto"/>
        <w:rPr>
          <w:rFonts w:ascii="Arial"/>
          <w:sz w:val="21"/>
        </w:rPr>
      </w:pPr>
    </w:p>
    <w:p>
      <w:pPr>
        <w:spacing w:line="312" w:lineRule="auto"/>
        <w:rPr>
          <w:rFonts w:ascii="Arial"/>
          <w:sz w:val="21"/>
        </w:rPr>
      </w:pPr>
    </w:p>
    <w:sdt>
      <w:sdtPr>
        <w:rPr>
          <w:rFonts w:hint="default" w:ascii="Times New Roman" w:hAnsi="Times New Roman" w:eastAsia="宋体" w:cs="Times New Roman"/>
          <w:snapToGrid w:val="0"/>
          <w:color w:val="000000"/>
          <w:kern w:val="0"/>
          <w:sz w:val="21"/>
          <w:szCs w:val="21"/>
          <w:lang w:val="en-US" w:eastAsia="en-US" w:bidi="ar-SA"/>
        </w:rPr>
        <w:id w:val="147483541"/>
        <w15:color w:val="DBDBDB"/>
        <w:docPartObj>
          <w:docPartGallery w:val="Table of Contents"/>
          <w:docPartUnique/>
        </w:docPartObj>
      </w:sdtPr>
      <w:sdtEndPr>
        <w:rPr>
          <w:rFonts w:hint="default" w:ascii="Arial" w:hAnsi="Arial" w:eastAsia="Arial" w:cs="Arial"/>
          <w:snapToGrid w:val="0"/>
          <w:color w:val="000000"/>
          <w:kern w:val="0"/>
          <w:sz w:val="21"/>
          <w:szCs w:val="21"/>
          <w:lang w:val="en-US" w:eastAsia="en-US" w:bidi="ar-SA"/>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default" w:ascii="Times New Roman" w:hAnsi="Times New Roman" w:eastAsia="宋体" w:cs="Times New Roman"/>
              <w:sz w:val="21"/>
              <w:szCs w:val="21"/>
            </w:rPr>
          </w:pP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 w:val="21"/>
              <w:szCs w:val="21"/>
            </w:rPr>
            <w:fldChar w:fldCharType="begin"/>
          </w:r>
          <w:r>
            <w:rPr>
              <w:rFonts w:hint="default" w:ascii="Times New Roman" w:hAnsi="Times New Roman" w:cs="Times New Roman" w:eastAsiaTheme="minorEastAsia"/>
              <w:sz w:val="21"/>
              <w:szCs w:val="21"/>
            </w:rPr>
            <w:instrText xml:space="preserve">TOC \o "1-1" \h \u </w:instrText>
          </w:r>
          <w:r>
            <w:rPr>
              <w:rFonts w:hint="default" w:ascii="Times New Roman" w:hAnsi="Times New Roman" w:cs="Times New Roman" w:eastAsiaTheme="minorEastAsia"/>
              <w:sz w:val="21"/>
              <w:szCs w:val="21"/>
            </w:rPr>
            <w:fldChar w:fldCharType="separate"/>
          </w: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_Toc2561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spacing w:val="-2"/>
              <w:szCs w:val="31"/>
            </w:rPr>
            <w:t>前</w:t>
          </w:r>
          <w:r>
            <w:rPr>
              <w:rFonts w:hint="eastAsia" w:ascii="Times New Roman" w:hAnsi="Times New Roman" w:cs="Times New Roman" w:eastAsiaTheme="minorEastAsia"/>
              <w:spacing w:val="11"/>
              <w:szCs w:val="31"/>
              <w:lang w:eastAsia="zh-CN"/>
            </w:rPr>
            <w:t xml:space="preserve">  </w:t>
          </w:r>
          <w:r>
            <w:rPr>
              <w:rFonts w:hint="default" w:ascii="Times New Roman" w:hAnsi="Times New Roman" w:cs="Times New Roman" w:eastAsiaTheme="minorEastAsia"/>
              <w:spacing w:val="-2"/>
              <w:szCs w:val="31"/>
            </w:rPr>
            <w:t>言</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_Toc2561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I</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_Toc19118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1 </w:t>
          </w:r>
          <w:r>
            <w:rPr>
              <w:rFonts w:hint="default" w:ascii="Times New Roman" w:hAnsi="Times New Roman" w:cs="Times New Roman" w:eastAsiaTheme="minorEastAsia"/>
              <w:lang w:eastAsia="zh-CN"/>
            </w:rPr>
            <w:t>适用</w:t>
          </w:r>
          <w:r>
            <w:rPr>
              <w:rFonts w:hint="default" w:ascii="Times New Roman" w:hAnsi="Times New Roman" w:cs="Times New Roman" w:eastAsiaTheme="minorEastAsia"/>
            </w:rPr>
            <w:t>范围</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_Toc19118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_Toc2674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2 </w:t>
          </w:r>
          <w:r>
            <w:rPr>
              <w:rFonts w:hint="default" w:ascii="Times New Roman" w:hAnsi="Times New Roman" w:cs="Times New Roman" w:eastAsiaTheme="minorEastAsia"/>
            </w:rPr>
            <w:t>规范性引用文件</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_Toc2674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_Toc14926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3 </w:t>
          </w:r>
          <w:r>
            <w:rPr>
              <w:rFonts w:hint="default" w:ascii="Times New Roman" w:hAnsi="Times New Roman" w:cs="Times New Roman" w:eastAsiaTheme="minorEastAsia"/>
            </w:rPr>
            <w:t>术语和定义</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_Toc14926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_Toc7986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4 </w:t>
          </w:r>
          <w:r>
            <w:rPr>
              <w:rFonts w:hint="default" w:ascii="Times New Roman" w:hAnsi="Times New Roman" w:cs="Times New Roman" w:eastAsiaTheme="minorEastAsia"/>
              <w:szCs w:val="20"/>
            </w:rPr>
            <w:t>大气污染物</w:t>
          </w:r>
          <w:r>
            <w:rPr>
              <w:rFonts w:hint="default" w:ascii="Times New Roman" w:hAnsi="Times New Roman" w:cs="Times New Roman" w:eastAsiaTheme="minorEastAsia"/>
            </w:rPr>
            <w:t>排放控制要求</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_Toc7986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_Toc3404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5 </w:t>
          </w:r>
          <w:r>
            <w:rPr>
              <w:rFonts w:hint="default" w:ascii="Times New Roman" w:hAnsi="Times New Roman" w:cs="Times New Roman" w:eastAsiaTheme="minorEastAsia"/>
            </w:rPr>
            <w:t>环境监测要求</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_Toc3404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5</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pStyle w:val="6"/>
            <w:tabs>
              <w:tab w:val="right" w:leader="dot" w:pos="9351"/>
            </w:tabs>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_Toc15901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i w:val="0"/>
            </w:rPr>
            <w:t xml:space="preserve">6 </w:t>
          </w:r>
          <w:r>
            <w:rPr>
              <w:rFonts w:hint="default" w:ascii="Times New Roman" w:hAnsi="Times New Roman" w:cs="Times New Roman" w:eastAsiaTheme="minorEastAsia"/>
            </w:rPr>
            <w:t>实施与监督</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_Toc15901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7</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szCs w:val="21"/>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r>
            <w:rPr>
              <w:rFonts w:hint="default" w:ascii="Times New Roman" w:hAnsi="Times New Roman" w:cs="Times New Roman" w:eastAsiaTheme="minorEastAsia"/>
              <w:szCs w:val="21"/>
            </w:rPr>
            <w:fldChar w:fldCharType="end"/>
          </w:r>
        </w:p>
      </w:sdtContent>
    </w:sdt>
    <w:p>
      <w:pPr>
        <w:spacing w:line="274" w:lineRule="auto"/>
        <w:rPr>
          <w:rFonts w:ascii="Arial"/>
          <w:sz w:val="21"/>
        </w:rPr>
      </w:pPr>
    </w:p>
    <w:p>
      <w:pPr>
        <w:rPr>
          <w:spacing w:val="-2"/>
          <w:sz w:val="31"/>
          <w:szCs w:val="31"/>
        </w:rPr>
        <w:sectPr>
          <w:headerReference r:id="rId5" w:type="default"/>
          <w:footerReference r:id="rId6" w:type="default"/>
          <w:footerReference r:id="rId7" w:type="even"/>
          <w:pgSz w:w="11906" w:h="16838"/>
          <w:pgMar w:top="1405" w:right="1129" w:bottom="1312" w:left="1426" w:header="113" w:footer="1135" w:gutter="0"/>
          <w:pgNumType w:fmt="upperRoman" w:start="1"/>
          <w:cols w:space="720" w:num="1"/>
        </w:sectPr>
      </w:pPr>
    </w:p>
    <w:p>
      <w:pPr>
        <w:rPr>
          <w:spacing w:val="-2"/>
          <w:sz w:val="31"/>
          <w:szCs w:val="31"/>
        </w:rPr>
      </w:pPr>
    </w:p>
    <w:p>
      <w:pPr>
        <w:pStyle w:val="3"/>
        <w:spacing w:before="42" w:line="237" w:lineRule="auto"/>
        <w:jc w:val="right"/>
      </w:pPr>
    </w:p>
    <w:p>
      <w:pPr>
        <w:pStyle w:val="3"/>
        <w:spacing w:before="101" w:line="228" w:lineRule="auto"/>
        <w:ind w:left="4248"/>
        <w:outlineLvl w:val="0"/>
        <w:rPr>
          <w:sz w:val="31"/>
          <w:szCs w:val="31"/>
        </w:rPr>
      </w:pPr>
      <w:bookmarkStart w:id="17" w:name="_Toc2561"/>
      <w:r>
        <w:rPr>
          <w:spacing w:val="-2"/>
          <w:sz w:val="31"/>
          <w:szCs w:val="31"/>
        </w:rPr>
        <w:t>前</w:t>
      </w:r>
      <w:r>
        <w:rPr>
          <w:rFonts w:hint="eastAsia"/>
          <w:spacing w:val="11"/>
          <w:sz w:val="31"/>
          <w:szCs w:val="31"/>
          <w:lang w:eastAsia="zh-CN"/>
        </w:rPr>
        <w:t xml:space="preserve">  </w:t>
      </w:r>
      <w:r>
        <w:rPr>
          <w:spacing w:val="-2"/>
          <w:sz w:val="31"/>
          <w:szCs w:val="31"/>
        </w:rPr>
        <w:t>言</w:t>
      </w:r>
      <w:bookmarkEnd w:id="17"/>
    </w:p>
    <w:p>
      <w:pPr>
        <w:spacing w:line="311" w:lineRule="auto"/>
        <w:rPr>
          <w:rFonts w:ascii="Arial"/>
          <w:sz w:val="21"/>
        </w:rPr>
      </w:pPr>
    </w:p>
    <w:p>
      <w:pPr>
        <w:pStyle w:val="16"/>
        <w:rPr>
          <w:rFonts w:hint="default" w:ascii="Times New Roman" w:hAnsi="Times New Roman" w:cs="Times New Roman"/>
          <w:sz w:val="21"/>
        </w:rPr>
      </w:pPr>
      <w:r>
        <w:rPr>
          <w:rFonts w:hint="default" w:ascii="Times New Roman" w:hAnsi="Times New Roman" w:eastAsia="宋体" w:cs="Times New Roman"/>
          <w:spacing w:val="0"/>
          <w:sz w:val="21"/>
          <w:szCs w:val="20"/>
        </w:rPr>
        <w:t>本标准按照 GB/T 1.1 —2020《标准化工作导则</w:t>
      </w:r>
      <w:r>
        <w:rPr>
          <w:rFonts w:hint="eastAsia" w:ascii="Times New Roman" w:cs="Times New Roman"/>
          <w:spacing w:val="0"/>
          <w:sz w:val="21"/>
          <w:szCs w:val="20"/>
          <w:lang w:eastAsia="zh-CN"/>
        </w:rPr>
        <w:t xml:space="preserve"> </w:t>
      </w:r>
      <w:r>
        <w:rPr>
          <w:rFonts w:hint="default" w:ascii="Times New Roman" w:hAnsi="Times New Roman" w:eastAsia="宋体" w:cs="Times New Roman"/>
          <w:spacing w:val="0"/>
          <w:sz w:val="21"/>
          <w:szCs w:val="20"/>
        </w:rPr>
        <w:t>第 1 部分：标准化文件的结构和起草规则》的规定起草。</w:t>
      </w:r>
    </w:p>
    <w:p>
      <w:pPr>
        <w:pStyle w:val="16"/>
        <w:rPr>
          <w:rFonts w:hint="default" w:ascii="Times New Roman" w:hAnsi="Times New Roman" w:eastAsia="宋体" w:cs="Times New Roman"/>
          <w:sz w:val="21"/>
          <w:szCs w:val="20"/>
        </w:rPr>
      </w:pPr>
      <w:r>
        <w:rPr>
          <w:rFonts w:hint="default" w:ascii="Times New Roman" w:hAnsi="Times New Roman" w:eastAsia="宋体" w:cs="Times New Roman"/>
          <w:spacing w:val="0"/>
          <w:sz w:val="21"/>
          <w:szCs w:val="20"/>
        </w:rPr>
        <w:t>为贯彻《中华人民共和国环境保护法》《中华人民共和国大气污染防治法》《中华人民共和国固体废物污染环境防治法》和《</w:t>
      </w:r>
      <w:r>
        <w:rPr>
          <w:rFonts w:hint="default" w:ascii="Times New Roman" w:hAnsi="Times New Roman" w:eastAsia="宋体" w:cs="Times New Roman"/>
          <w:spacing w:val="0"/>
          <w:sz w:val="21"/>
          <w:szCs w:val="20"/>
          <w:lang w:eastAsia="zh-CN"/>
        </w:rPr>
        <w:t>天津市</w:t>
      </w:r>
      <w:r>
        <w:rPr>
          <w:rFonts w:hint="default" w:ascii="Times New Roman" w:hAnsi="Times New Roman" w:eastAsia="宋体" w:cs="Times New Roman"/>
          <w:spacing w:val="0"/>
          <w:sz w:val="21"/>
          <w:szCs w:val="20"/>
        </w:rPr>
        <w:t>大气污染防治条例》等法律法规，加强对危险废物焚烧大气污染物排放控制，改善环境质量，保障公众健康，促进</w:t>
      </w:r>
      <w:r>
        <w:rPr>
          <w:rFonts w:hint="default" w:ascii="Times New Roman" w:hAnsi="Times New Roman" w:eastAsia="宋体" w:cs="Times New Roman"/>
          <w:sz w:val="21"/>
          <w:szCs w:val="20"/>
        </w:rPr>
        <w:t>行业技术进步和可持续发展，结合</w:t>
      </w:r>
      <w:r>
        <w:rPr>
          <w:rFonts w:hint="default" w:ascii="Times New Roman" w:hAnsi="Times New Roman" w:eastAsia="宋体" w:cs="Times New Roman"/>
          <w:sz w:val="21"/>
          <w:szCs w:val="20"/>
          <w:lang w:eastAsia="zh-CN"/>
        </w:rPr>
        <w:t>天津市</w:t>
      </w:r>
      <w:r>
        <w:rPr>
          <w:rFonts w:hint="default" w:ascii="Times New Roman" w:hAnsi="Times New Roman" w:eastAsia="宋体" w:cs="Times New Roman"/>
          <w:sz w:val="21"/>
          <w:szCs w:val="20"/>
        </w:rPr>
        <w:t>的实际情况</w:t>
      </w:r>
      <w:r>
        <w:rPr>
          <w:rFonts w:hint="default" w:ascii="Times New Roman" w:hAnsi="Times New Roman" w:eastAsia="宋体" w:cs="Times New Roman"/>
          <w:spacing w:val="0"/>
          <w:sz w:val="21"/>
          <w:szCs w:val="20"/>
        </w:rPr>
        <w:t>，</w:t>
      </w:r>
      <w:r>
        <w:rPr>
          <w:rFonts w:hint="default" w:ascii="Times New Roman" w:hAnsi="Times New Roman" w:cs="Times New Roman"/>
          <w:spacing w:val="0"/>
          <w:sz w:val="21"/>
          <w:szCs w:val="20"/>
          <w:lang w:eastAsia="zh-CN"/>
        </w:rPr>
        <w:t>制定</w:t>
      </w:r>
      <w:r>
        <w:rPr>
          <w:rFonts w:hint="default" w:ascii="Times New Roman" w:hAnsi="Times New Roman" w:eastAsia="宋体" w:cs="Times New Roman"/>
          <w:spacing w:val="0"/>
          <w:sz w:val="21"/>
          <w:szCs w:val="20"/>
        </w:rPr>
        <w:t>本标准。</w:t>
      </w:r>
    </w:p>
    <w:p>
      <w:pPr>
        <w:pStyle w:val="16"/>
        <w:rPr>
          <w:rFonts w:hint="default" w:ascii="Times New Roman" w:hAnsi="Times New Roman" w:eastAsia="宋体" w:cs="Times New Roman"/>
          <w:sz w:val="21"/>
          <w:szCs w:val="20"/>
        </w:rPr>
      </w:pPr>
      <w:r>
        <w:rPr>
          <w:rFonts w:hint="default" w:ascii="Times New Roman" w:hAnsi="Times New Roman" w:eastAsia="宋体" w:cs="Times New Roman"/>
          <w:spacing w:val="0"/>
          <w:sz w:val="21"/>
          <w:szCs w:val="20"/>
        </w:rPr>
        <w:t>本标准为强制性标准。本标准规定了天津市危险废物焚烧行业颗粒物，二氧化硫，氮氧化物，一氧化碳，氯化氢，氟化氢，氨，汞及其化合物，铊及其化合物，镉及其化合物，铅及其化合物，砷及其化合物，铬及其化合物，锡、锑、铜、锰、镍、钴及其化合物以及二噁英类的排放限值。</w:t>
      </w:r>
    </w:p>
    <w:p>
      <w:pPr>
        <w:pStyle w:val="16"/>
        <w:rPr>
          <w:rFonts w:hint="default" w:ascii="Times New Roman" w:hAnsi="Times New Roman" w:eastAsia="宋体" w:cs="Times New Roman"/>
          <w:spacing w:val="0"/>
          <w:sz w:val="21"/>
          <w:szCs w:val="20"/>
        </w:rPr>
      </w:pPr>
      <w:r>
        <w:rPr>
          <w:rFonts w:hint="default" w:ascii="Times New Roman" w:hAnsi="Times New Roman" w:eastAsia="宋体" w:cs="Times New Roman"/>
          <w:spacing w:val="0"/>
          <w:sz w:val="21"/>
          <w:szCs w:val="20"/>
        </w:rPr>
        <w:t>本标准未</w:t>
      </w:r>
      <w:r>
        <w:rPr>
          <w:rFonts w:hint="eastAsia" w:ascii="Times New Roman" w:cs="Times New Roman"/>
          <w:spacing w:val="0"/>
          <w:sz w:val="21"/>
          <w:szCs w:val="20"/>
          <w:lang w:val="en-US" w:eastAsia="zh-CN"/>
        </w:rPr>
        <w:t>作</w:t>
      </w:r>
      <w:r>
        <w:rPr>
          <w:rFonts w:hint="default" w:ascii="Times New Roman" w:hAnsi="Times New Roman" w:eastAsia="宋体" w:cs="Times New Roman"/>
          <w:spacing w:val="0"/>
          <w:sz w:val="21"/>
          <w:szCs w:val="20"/>
        </w:rPr>
        <w:t>规定的，执行 GB</w:t>
      </w:r>
      <w:r>
        <w:rPr>
          <w:rFonts w:hint="default" w:ascii="Times New Roman" w:hAnsi="Times New Roman" w:eastAsia="宋体" w:cs="Times New Roman"/>
          <w:spacing w:val="0"/>
          <w:w w:val="100"/>
          <w:sz w:val="21"/>
          <w:szCs w:val="20"/>
        </w:rPr>
        <w:t xml:space="preserve"> </w:t>
      </w:r>
      <w:r>
        <w:rPr>
          <w:rFonts w:hint="default" w:ascii="Times New Roman" w:hAnsi="Times New Roman" w:eastAsia="宋体" w:cs="Times New Roman"/>
          <w:spacing w:val="0"/>
          <w:sz w:val="21"/>
          <w:szCs w:val="20"/>
        </w:rPr>
        <w:t>18484 中有关规定。</w:t>
      </w:r>
    </w:p>
    <w:p>
      <w:pPr>
        <w:pStyle w:val="16"/>
        <w:ind w:firstLine="420"/>
        <w:rPr>
          <w:rFonts w:hint="default" w:ascii="Times New Roman" w:hAnsi="Times New Roman" w:eastAsia="宋体" w:cs="Times New Roman"/>
          <w:spacing w:val="0"/>
          <w:sz w:val="21"/>
          <w:szCs w:val="20"/>
        </w:rPr>
      </w:pPr>
      <w:r>
        <w:rPr>
          <w:rFonts w:hint="default" w:ascii="Times New Roman" w:hAnsi="Times New Roman" w:eastAsia="宋体" w:cs="Times New Roman"/>
          <w:spacing w:val="0"/>
          <w:sz w:val="21"/>
          <w:szCs w:val="20"/>
        </w:rPr>
        <w:t>本标准由</w:t>
      </w:r>
      <w:r>
        <w:rPr>
          <w:rFonts w:hint="default" w:ascii="Times New Roman" w:hAnsi="Times New Roman" w:eastAsia="宋体" w:cs="Times New Roman"/>
          <w:spacing w:val="0"/>
          <w:sz w:val="21"/>
          <w:szCs w:val="20"/>
          <w:lang w:eastAsia="zh-CN"/>
        </w:rPr>
        <w:t>天津市</w:t>
      </w:r>
      <w:r>
        <w:rPr>
          <w:rFonts w:hint="default" w:ascii="Times New Roman" w:hAnsi="Times New Roman" w:eastAsia="宋体" w:cs="Times New Roman"/>
          <w:spacing w:val="0"/>
          <w:sz w:val="21"/>
          <w:szCs w:val="20"/>
        </w:rPr>
        <w:t>生态环境局提出、归口并组织实施。</w:t>
      </w:r>
    </w:p>
    <w:p>
      <w:pPr>
        <w:pStyle w:val="16"/>
        <w:ind w:firstLine="420"/>
        <w:rPr>
          <w:rFonts w:hint="default" w:ascii="Times New Roman" w:hAnsi="Times New Roman" w:eastAsia="宋体" w:cs="Times New Roman"/>
          <w:spacing w:val="0"/>
          <w:sz w:val="21"/>
          <w:szCs w:val="20"/>
        </w:rPr>
      </w:pPr>
      <w:r>
        <w:rPr>
          <w:rFonts w:hint="default" w:ascii="Times New Roman" w:hAnsi="Times New Roman" w:eastAsia="宋体" w:cs="Times New Roman"/>
          <w:spacing w:val="0"/>
          <w:sz w:val="21"/>
          <w:szCs w:val="20"/>
        </w:rPr>
        <w:t>本标准为首次发布。</w:t>
      </w:r>
    </w:p>
    <w:p>
      <w:pPr>
        <w:pStyle w:val="16"/>
        <w:ind w:firstLine="420"/>
        <w:rPr>
          <w:rFonts w:hint="default" w:ascii="Times New Roman" w:hAnsi="Times New Roman" w:eastAsia="宋体" w:cs="Times New Roman"/>
          <w:sz w:val="21"/>
          <w:szCs w:val="20"/>
        </w:rPr>
      </w:pPr>
      <w:r>
        <w:rPr>
          <w:rFonts w:hint="default" w:ascii="Times New Roman" w:hAnsi="Times New Roman" w:eastAsia="宋体" w:cs="Times New Roman"/>
          <w:spacing w:val="0"/>
          <w:sz w:val="21"/>
          <w:szCs w:val="20"/>
        </w:rPr>
        <w:t>本标准起草单位：天津市生态环境监测中心。</w:t>
      </w:r>
    </w:p>
    <w:p>
      <w:pPr>
        <w:pStyle w:val="16"/>
        <w:ind w:firstLine="420"/>
        <w:rPr>
          <w:rFonts w:hint="default" w:ascii="Times New Roman" w:hAnsi="Times New Roman" w:eastAsia="宋体" w:cs="Times New Roman"/>
          <w:spacing w:val="0"/>
          <w:sz w:val="21"/>
          <w:szCs w:val="20"/>
        </w:rPr>
      </w:pPr>
      <w:r>
        <w:rPr>
          <w:rFonts w:hint="default" w:ascii="Times New Roman" w:hAnsi="Times New Roman" w:eastAsia="宋体" w:cs="Times New Roman"/>
          <w:spacing w:val="0"/>
          <w:sz w:val="21"/>
          <w:szCs w:val="20"/>
        </w:rPr>
        <w:t>本标准主要起草人</w:t>
      </w:r>
      <w:r>
        <w:rPr>
          <w:rFonts w:hint="default" w:ascii="Times New Roman" w:hAnsi="Times New Roman" w:cs="Times New Roman"/>
          <w:spacing w:val="0"/>
          <w:sz w:val="21"/>
          <w:szCs w:val="20"/>
          <w:lang w:eastAsia="zh-CN"/>
        </w:rPr>
        <w:t>：</w:t>
      </w:r>
    </w:p>
    <w:p>
      <w:pPr>
        <w:pStyle w:val="16"/>
        <w:rPr>
          <w:rFonts w:hint="default" w:ascii="Times New Roman" w:hAnsi="Times New Roman" w:eastAsia="宋体" w:cs="Times New Roman"/>
          <w:sz w:val="21"/>
          <w:szCs w:val="20"/>
        </w:rPr>
      </w:pPr>
      <w:r>
        <w:rPr>
          <w:rFonts w:hint="default" w:ascii="Times New Roman" w:hAnsi="Times New Roman" w:eastAsia="宋体" w:cs="Times New Roman"/>
          <w:spacing w:val="0"/>
          <w:sz w:val="21"/>
          <w:szCs w:val="20"/>
        </w:rPr>
        <w:t>本标准由</w:t>
      </w:r>
      <w:r>
        <w:rPr>
          <w:rFonts w:hint="default" w:ascii="Times New Roman" w:hAnsi="Times New Roman" w:eastAsia="宋体" w:cs="Times New Roman"/>
          <w:spacing w:val="0"/>
          <w:sz w:val="21"/>
          <w:szCs w:val="20"/>
          <w:lang w:eastAsia="zh-CN"/>
        </w:rPr>
        <w:t>天津市</w:t>
      </w:r>
      <w:r>
        <w:rPr>
          <w:rFonts w:hint="default" w:ascii="Times New Roman" w:hAnsi="Times New Roman" w:eastAsia="宋体" w:cs="Times New Roman"/>
          <w:spacing w:val="0"/>
          <w:sz w:val="21"/>
          <w:szCs w:val="20"/>
        </w:rPr>
        <w:t>人民政府20□□年□□月□□日批准。</w:t>
      </w:r>
    </w:p>
    <w:p>
      <w:pPr>
        <w:spacing w:line="220" w:lineRule="auto"/>
        <w:rPr>
          <w:rFonts w:hint="default" w:ascii="Times New Roman" w:hAnsi="Times New Roman" w:eastAsia="宋体" w:cs="Times New Roman"/>
          <w:sz w:val="21"/>
          <w:szCs w:val="21"/>
        </w:rPr>
        <w:sectPr>
          <w:headerReference r:id="rId8" w:type="default"/>
          <w:footerReference r:id="rId9" w:type="default"/>
          <w:footerReference r:id="rId10" w:type="even"/>
          <w:pgSz w:w="11906" w:h="16838"/>
          <w:pgMar w:top="1405" w:right="1129" w:bottom="1304" w:left="1426" w:header="113" w:footer="1135" w:gutter="0"/>
          <w:pgNumType w:fmt="upperRoman" w:start="1"/>
          <w:cols w:space="720" w:num="1"/>
        </w:sectPr>
      </w:pPr>
    </w:p>
    <w:p>
      <w:pPr>
        <w:pStyle w:val="3"/>
        <w:spacing w:before="42" w:line="237" w:lineRule="auto"/>
        <w:ind w:left="0"/>
        <w:jc w:val="right"/>
      </w:pPr>
      <w:bookmarkStart w:id="29" w:name="_GoBack"/>
      <w:bookmarkEnd w:id="29"/>
    </w:p>
    <w:p>
      <w:pPr>
        <w:pStyle w:val="3"/>
        <w:spacing w:before="101" w:line="227" w:lineRule="auto"/>
        <w:ind w:left="11" w:leftChars="0" w:hanging="11" w:firstLineChars="0"/>
        <w:jc w:val="center"/>
        <w:outlineLvl w:val="0"/>
        <w:rPr>
          <w:sz w:val="31"/>
          <w:szCs w:val="31"/>
        </w:rPr>
      </w:pPr>
      <w:bookmarkStart w:id="18" w:name="_Toc10999"/>
      <w:bookmarkStart w:id="19" w:name="_Toc3467"/>
      <w:bookmarkStart w:id="20" w:name="_Toc27648"/>
      <w:r>
        <w:rPr>
          <w:spacing w:val="9"/>
          <w:sz w:val="31"/>
          <w:szCs w:val="31"/>
        </w:rPr>
        <w:t>危险废物焚烧大气污染物排放标准</w:t>
      </w:r>
      <w:bookmarkEnd w:id="18"/>
      <w:bookmarkEnd w:id="19"/>
      <w:bookmarkEnd w:id="20"/>
    </w:p>
    <w:p>
      <w:pPr>
        <w:spacing w:line="458" w:lineRule="auto"/>
        <w:rPr>
          <w:rFonts w:ascii="Arial"/>
          <w:sz w:val="21"/>
        </w:rPr>
      </w:pPr>
    </w:p>
    <w:p>
      <w:pPr>
        <w:pStyle w:val="27"/>
        <w:spacing w:before="312" w:after="312"/>
        <w:rPr>
          <w:rFonts w:hint="eastAsia"/>
        </w:rPr>
      </w:pPr>
      <w:bookmarkStart w:id="21" w:name="_Toc19118"/>
      <w:r>
        <w:rPr>
          <w:rFonts w:hint="eastAsia"/>
          <w:lang w:eastAsia="zh-CN"/>
        </w:rPr>
        <w:t>适用</w:t>
      </w:r>
      <w:r>
        <w:rPr>
          <w:rFonts w:hint="eastAsia"/>
        </w:rPr>
        <w:t>范围</w:t>
      </w:r>
      <w:bookmarkEnd w:id="21"/>
    </w:p>
    <w:p>
      <w:pPr>
        <w:widowControl w:val="0"/>
        <w:kinsoku/>
        <w:autoSpaceDE w:val="0"/>
        <w:autoSpaceDN w:val="0"/>
        <w:adjustRightInd w:val="0"/>
        <w:snapToGrid/>
        <w:spacing w:line="240" w:lineRule="auto"/>
        <w:ind w:firstLine="420" w:firstLineChars="200"/>
        <w:jc w:val="left"/>
        <w:textAlignment w:val="auto"/>
        <w:rPr>
          <w:rFonts w:ascii="Times New Roman" w:hAnsi="Times New Roman" w:eastAsia="宋体" w:cs="Times New Roman"/>
          <w:snapToGrid/>
          <w:color w:val="000000"/>
          <w:kern w:val="0"/>
          <w:szCs w:val="21"/>
          <w:lang w:eastAsia="zh-CN"/>
        </w:rPr>
      </w:pPr>
      <w:r>
        <w:rPr>
          <w:rFonts w:ascii="Times New Roman" w:hAnsi="Times New Roman" w:eastAsia="宋体" w:cs="Times New Roman"/>
          <w:snapToGrid/>
          <w:color w:val="000000"/>
          <w:kern w:val="0"/>
          <w:szCs w:val="21"/>
          <w:lang w:eastAsia="zh-CN"/>
        </w:rPr>
        <w:t>本</w:t>
      </w:r>
      <w:r>
        <w:rPr>
          <w:rFonts w:hint="eastAsia" w:ascii="Times New Roman" w:hAnsi="Times New Roman" w:eastAsia="宋体" w:cs="Times New Roman"/>
          <w:snapToGrid/>
          <w:color w:val="000000"/>
          <w:kern w:val="0"/>
          <w:szCs w:val="21"/>
          <w:lang w:eastAsia="zh-CN"/>
        </w:rPr>
        <w:t>标准规定了</w:t>
      </w:r>
      <w:r>
        <w:rPr>
          <w:rFonts w:hint="eastAsia" w:ascii="Times New Roman" w:hAnsi="Times New Roman" w:eastAsia="宋体" w:cs="Times New Roman"/>
          <w:snapToGrid/>
          <w:color w:val="000000"/>
          <w:kern w:val="0"/>
          <w:szCs w:val="21"/>
          <w:lang w:val="en-US" w:eastAsia="zh-CN"/>
        </w:rPr>
        <w:t>天津市辖区内</w:t>
      </w:r>
      <w:r>
        <w:rPr>
          <w:rFonts w:ascii="Times New Roman" w:hAnsi="Times New Roman" w:eastAsia="宋体" w:cs="Times New Roman"/>
          <w:snapToGrid/>
          <w:color w:val="000000"/>
          <w:kern w:val="0"/>
          <w:szCs w:val="21"/>
          <w:lang w:eastAsia="zh-CN"/>
        </w:rPr>
        <w:t>危险废物</w:t>
      </w:r>
      <w:r>
        <w:rPr>
          <w:rFonts w:hint="eastAsia" w:ascii="Times New Roman" w:hAnsi="Times New Roman" w:eastAsia="宋体" w:cs="Times New Roman"/>
          <w:snapToGrid/>
          <w:color w:val="000000"/>
          <w:kern w:val="0"/>
          <w:szCs w:val="21"/>
          <w:lang w:eastAsia="zh-CN"/>
        </w:rPr>
        <w:t>焚烧设施的</w:t>
      </w:r>
      <w:r>
        <w:rPr>
          <w:rFonts w:ascii="Times New Roman" w:hAnsi="Times New Roman" w:eastAsia="宋体" w:cs="Times New Roman"/>
          <w:color w:val="000000"/>
          <w:szCs w:val="21"/>
        </w:rPr>
        <w:t>大气污染物排放控制要求、监测要求、实施与监督等内容。</w:t>
      </w:r>
    </w:p>
    <w:p>
      <w:pPr>
        <w:widowControl w:val="0"/>
        <w:kinsoku/>
        <w:autoSpaceDE w:val="0"/>
        <w:autoSpaceDN w:val="0"/>
        <w:adjustRightInd w:val="0"/>
        <w:snapToGrid/>
        <w:spacing w:line="240" w:lineRule="auto"/>
        <w:ind w:firstLine="420" w:firstLineChars="200"/>
        <w:jc w:val="left"/>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本</w:t>
      </w:r>
      <w:r>
        <w:rPr>
          <w:rFonts w:hint="eastAsia" w:ascii="Times New Roman" w:hAnsi="Times New Roman" w:eastAsia="宋体" w:cs="Times New Roman"/>
          <w:snapToGrid/>
          <w:color w:val="000000"/>
          <w:kern w:val="0"/>
          <w:szCs w:val="21"/>
          <w:lang w:eastAsia="zh-CN"/>
        </w:rPr>
        <w:t>标准</w:t>
      </w:r>
      <w:r>
        <w:rPr>
          <w:rFonts w:hint="eastAsia" w:ascii="Times New Roman" w:hAnsi="Times New Roman" w:eastAsia="宋体" w:cs="Times New Roman"/>
          <w:snapToGrid/>
          <w:color w:val="000000"/>
          <w:kern w:val="0"/>
          <w:szCs w:val="21"/>
          <w:lang w:val="en-US" w:eastAsia="zh-CN"/>
        </w:rPr>
        <w:t>适用于现有危险废物焚烧设施（不包含专用多氯联苯废物和医疗废物焚烧设施）的大气污染控制和环境管理，以及危险废物焚烧建设项目的环境影响评价、环境保护设施设计与施工、竣工环境保护验收、排污许可管理及投运后的大气污染物排放管理。</w:t>
      </w:r>
    </w:p>
    <w:p>
      <w:pPr>
        <w:widowControl w:val="0"/>
        <w:kinsoku/>
        <w:autoSpaceDE w:val="0"/>
        <w:autoSpaceDN w:val="0"/>
        <w:adjustRightInd w:val="0"/>
        <w:snapToGrid/>
        <w:spacing w:line="240" w:lineRule="auto"/>
        <w:ind w:firstLine="420" w:firstLineChars="200"/>
        <w:jc w:val="left"/>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已发布专项的国家污染控制标准或者环境保护标准的专用危险废物焚烧设施执行其专项标准。</w:t>
      </w:r>
    </w:p>
    <w:p>
      <w:pPr>
        <w:widowControl w:val="0"/>
        <w:kinsoku/>
        <w:autoSpaceDE w:val="0"/>
        <w:autoSpaceDN w:val="0"/>
        <w:adjustRightInd w:val="0"/>
        <w:snapToGrid/>
        <w:spacing w:line="240" w:lineRule="auto"/>
        <w:ind w:firstLine="420" w:firstLineChars="200"/>
        <w:jc w:val="left"/>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危险废物熔融、热解、气化等高温热处理设施的污染物排放限值，若无专项国家或地方污染控制标准或者环境保护标准的，应参照本标准执行。</w:t>
      </w:r>
    </w:p>
    <w:p>
      <w:pPr>
        <w:widowControl w:val="0"/>
        <w:kinsoku/>
        <w:autoSpaceDE w:val="0"/>
        <w:autoSpaceDN w:val="0"/>
        <w:adjustRightInd w:val="0"/>
        <w:snapToGrid/>
        <w:spacing w:line="240" w:lineRule="auto"/>
        <w:ind w:firstLine="420" w:firstLineChars="200"/>
        <w:jc w:val="left"/>
        <w:textAlignment w:val="auto"/>
        <w:rPr>
          <w:rFonts w:hint="eastAsia" w:ascii="Times New Roman" w:hAnsi="Times New Roman" w:eastAsia="宋体" w:cs="Times New Roman"/>
          <w:snapToGrid/>
          <w:color w:val="000000"/>
          <w:kern w:val="0"/>
          <w:szCs w:val="21"/>
          <w:lang w:val="en-US" w:eastAsia="zh-CN"/>
        </w:rPr>
      </w:pPr>
      <w:r>
        <w:rPr>
          <w:rFonts w:hint="eastAsia" w:ascii="Times New Roman" w:hAnsi="Times New Roman" w:eastAsia="宋体" w:cs="Times New Roman"/>
          <w:snapToGrid/>
          <w:color w:val="000000"/>
          <w:kern w:val="0"/>
          <w:szCs w:val="21"/>
          <w:lang w:val="en-US" w:eastAsia="zh-CN"/>
        </w:rPr>
        <w:t>本标准不适用于利用锅炉和工业炉窑协同处置危险废物。</w:t>
      </w:r>
    </w:p>
    <w:p>
      <w:pPr>
        <w:pStyle w:val="27"/>
        <w:spacing w:before="312" w:after="312"/>
        <w:rPr>
          <w:rFonts w:hint="eastAsia"/>
        </w:rPr>
      </w:pPr>
      <w:bookmarkStart w:id="22" w:name="_Toc2674"/>
      <w:r>
        <w:rPr>
          <w:rFonts w:hint="eastAsia"/>
        </w:rPr>
        <w:t>规范性引用文件</w:t>
      </w:r>
      <w:bookmarkEnd w:id="22"/>
    </w:p>
    <w:p>
      <w:pPr>
        <w:autoSpaceDE w:val="0"/>
        <w:autoSpaceDN w:val="0"/>
        <w:adjustRightInd w:val="0"/>
        <w:spacing w:after="156" w:afterLines="50"/>
        <w:ind w:firstLine="420" w:firstLineChars="200"/>
        <w:jc w:val="left"/>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6"/>
        <w:ind w:firstLine="420"/>
        <w:rPr>
          <w:rFonts w:hint="default" w:ascii="Times New Roman" w:hAnsi="Times New Roman" w:cs="Times New Roman"/>
          <w:highlight w:val="none"/>
          <w:lang w:val="en-US" w:eastAsia="zh-CN"/>
        </w:rPr>
      </w:pPr>
      <w:r>
        <w:rPr>
          <w:rFonts w:hint="default" w:ascii="Times New Roman" w:hAnsi="Times New Roman" w:cs="Times New Roman"/>
          <w:sz w:val="21"/>
          <w:highlight w:val="none"/>
          <w:lang w:val="en-US" w:eastAsia="zh-CN" w:bidi="ar-SA"/>
        </w:rPr>
        <w:t>GB 16297</w:t>
      </w:r>
      <w:r>
        <w:rPr>
          <w:rFonts w:hint="default" w:ascii="Times New Roman" w:hAnsi="Times New Roman" w:cs="Times New Roman"/>
          <w:highlight w:val="none"/>
          <w:lang w:val="en-US" w:eastAsia="zh-CN"/>
        </w:rPr>
        <w:t xml:space="preserve"> 大气污染物综合排放标准 </w:t>
      </w:r>
    </w:p>
    <w:p>
      <w:pPr>
        <w:pStyle w:val="16"/>
        <w:ind w:firstLine="42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GB 18484 危险废物焚烧污染控制标准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GB 18597 危险废物贮存污染控制标准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GB 37822 挥发性有机物无组织排放控制标准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GB/T 16157 固定污染源排气中颗粒物测定与气态污染物采样方法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27 固定污染源排气中氯化氢的测定 硫氰酸汞分光光度法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42 固定污染源排气中氮氧化物的测定 紫外分光光度法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43 固定污染源排气中氮氧化物的测定 盐酸萘乙二胺分光光度法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44 固定污染源排气中一氧化碳的测定 非</w:t>
      </w:r>
      <w:r>
        <w:rPr>
          <w:rFonts w:hint="eastAsia" w:ascii="Times New Roman" w:cs="Times New Roman"/>
          <w:lang w:val="en-US" w:eastAsia="zh-CN"/>
        </w:rPr>
        <w:t>色</w:t>
      </w:r>
      <w:r>
        <w:rPr>
          <w:rFonts w:hint="default" w:ascii="Times New Roman" w:hAnsi="Times New Roman" w:cs="Times New Roman"/>
          <w:lang w:val="en-US" w:eastAsia="zh-CN"/>
        </w:rPr>
        <w:t xml:space="preserve">散红外吸收法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56 固定污染源排气中二氧化硫的测定 碘量法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57 固定污染源废气 二氧化硫的测定 定电位电解法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63.1 大气固定污染源 镍的测定 火焰原子吸收分光光度法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63.2 大气固定污染源</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镍的测定 石墨炉原子吸收分光光度法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63.</w:t>
      </w:r>
      <w:r>
        <w:rPr>
          <w:rFonts w:hint="eastAsia" w:ascii="Times New Roman" w:cs="Times New Roman"/>
          <w:lang w:val="en-US" w:eastAsia="zh-CN"/>
        </w:rPr>
        <w:t>3 大气固定污染源 镍的测定 丁二酮肟-正丁醇萃取分光光度法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64.1 大气固定污染源 镉的测定 火焰原子吸收分光光度法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64.2 大气固定污染源</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镉的测定 石墨炉原子吸收分光光度法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64.</w:t>
      </w:r>
      <w:r>
        <w:rPr>
          <w:rFonts w:hint="eastAsia" w:ascii="Times New Roman" w:cs="Times New Roman"/>
          <w:lang w:val="en-US" w:eastAsia="zh-CN"/>
        </w:rPr>
        <w:t>3</w:t>
      </w:r>
      <w:r>
        <w:rPr>
          <w:rFonts w:hint="default" w:ascii="Times New Roman" w:hAnsi="Times New Roman" w:cs="Times New Roman"/>
          <w:lang w:val="en-US" w:eastAsia="zh-CN"/>
        </w:rPr>
        <w:t xml:space="preserve"> 大气固定污染源 镉的测定 对-偶氮苯重氮氨基偶氮苯磺酸分光光度法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HJ/T 65 大气固定污染源</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锡的测定 石墨炉原子吸收分光光度法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75 固定污染源烟气（SO</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、NO</w:t>
      </w:r>
      <w:r>
        <w:rPr>
          <w:rFonts w:hint="default" w:ascii="Times New Roman" w:hAnsi="Times New Roman" w:cs="Times New Roman"/>
          <w:vertAlign w:val="subscript"/>
          <w:lang w:val="en-US" w:eastAsia="zh-CN"/>
        </w:rPr>
        <w:t>X</w:t>
      </w:r>
      <w:r>
        <w:rPr>
          <w:rFonts w:hint="default" w:ascii="Times New Roman" w:hAnsi="Times New Roman" w:cs="Times New Roman"/>
          <w:lang w:val="en-US" w:eastAsia="zh-CN"/>
        </w:rPr>
        <w:t xml:space="preserve">、颗粒物）排放连续监测技术规范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76 固定污染源烟气（SO</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、NO</w:t>
      </w:r>
      <w:r>
        <w:rPr>
          <w:rFonts w:hint="default" w:ascii="Times New Roman" w:hAnsi="Times New Roman" w:cs="Times New Roman"/>
          <w:vertAlign w:val="subscript"/>
          <w:lang w:val="en-US" w:eastAsia="zh-CN"/>
        </w:rPr>
        <w:t>X</w:t>
      </w:r>
      <w:r>
        <w:rPr>
          <w:rFonts w:hint="default" w:ascii="Times New Roman" w:hAnsi="Times New Roman" w:cs="Times New Roman"/>
          <w:lang w:val="en-US" w:eastAsia="zh-CN"/>
        </w:rPr>
        <w:t xml:space="preserve">、颗粒物）排放连续监测系统技术要求及检测方法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77.2 环境空气和废气 二噁英类的测定 同位素稀释高分辨气相色谱-高分辨质谱法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212 污染物在线监控（监测）系统数据传输标准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365 危险废物（含医疗废物）焚烧处置设施二噁英排放监测技术规范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373 固定污染源监测质量保证与质量控制技术规范（试行）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HJ/T 397 固定源废气监测技术规范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533 环境空气和废气</w:t>
      </w:r>
      <w:r>
        <w:rPr>
          <w:rFonts w:hint="eastAsia" w:ascii="Times New Roman" w:cs="Times New Roman"/>
          <w:lang w:val="en-US" w:eastAsia="zh-CN"/>
        </w:rPr>
        <w:t xml:space="preserve"> </w:t>
      </w:r>
      <w:r>
        <w:rPr>
          <w:rFonts w:hint="default" w:ascii="Times New Roman" w:hAnsi="Times New Roman" w:cs="Times New Roman"/>
          <w:lang w:val="en-US" w:eastAsia="zh-CN"/>
        </w:rPr>
        <w:t>氨的测定</w:t>
      </w:r>
      <w:r>
        <w:rPr>
          <w:rFonts w:hint="eastAsia" w:ascii="Times New Roman" w:cs="Times New Roman"/>
          <w:lang w:val="en-US" w:eastAsia="zh-CN"/>
        </w:rPr>
        <w:t xml:space="preserve"> </w:t>
      </w:r>
      <w:r>
        <w:rPr>
          <w:rFonts w:hint="default" w:ascii="Times New Roman" w:hAnsi="Times New Roman" w:cs="Times New Roman"/>
          <w:lang w:val="en-US" w:eastAsia="zh-CN"/>
        </w:rPr>
        <w:t>纳氏试剂分光光度法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540 环境空气和废气 砷的测定 二乙基二硫代氨基甲酸银分光光度法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543 固定污染源废气 汞的测定 冷原子吸收分光光度法（暂行）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548 固定污染源废气 氯化氢的测定 硝酸银容量法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549 环境空气和废气 氯化氢的测定 离子色谱法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561 危险废物（含医疗废物）焚烧处置设施性能测试技术规范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629 固定污染源废气 二氧化硫的测定 非分散红外吸收法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657 空气和废气 颗粒物中铅等金属元素的测定 电感耦合等离子体质谱法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685 固定污染源废气 铅的测定 火焰原子吸收分光光度法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688 固定污染源废气</w:t>
      </w:r>
      <w:r>
        <w:rPr>
          <w:rFonts w:hint="eastAsia" w:ascii="Times New Roman" w:cs="Times New Roman"/>
          <w:lang w:val="en-US" w:eastAsia="zh-CN"/>
        </w:rPr>
        <w:t xml:space="preserve"> </w:t>
      </w:r>
      <w:r>
        <w:rPr>
          <w:rFonts w:hint="default" w:ascii="Times New Roman" w:hAnsi="Times New Roman" w:cs="Times New Roman"/>
          <w:lang w:val="en-US" w:eastAsia="zh-CN"/>
        </w:rPr>
        <w:t>氟化氢的测定</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离子色谱法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692 固定污染源废气 氮氧化物的测定 非分散红外吸收法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693 固定污染源废气 氮氧化物的测定 定电位电解法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 777 空气和废气</w:t>
      </w:r>
      <w:r>
        <w:rPr>
          <w:rFonts w:hint="eastAsia" w:ascii="Times New Roman" w:cs="Times New Roman"/>
          <w:lang w:val="en-US" w:eastAsia="zh-CN"/>
        </w:rPr>
        <w:t xml:space="preserve"> </w:t>
      </w:r>
      <w:r>
        <w:rPr>
          <w:rFonts w:hint="default" w:ascii="Times New Roman" w:hAnsi="Times New Roman" w:cs="Times New Roman"/>
          <w:lang w:val="en-US" w:eastAsia="zh-CN"/>
        </w:rPr>
        <w:t>颗粒物中金属元素的测定</w:t>
      </w:r>
      <w:r>
        <w:rPr>
          <w:rFonts w:hint="eastAsia" w:ascii="Times New Roman" w:cs="Times New Roman"/>
          <w:lang w:val="en-US" w:eastAsia="zh-CN"/>
        </w:rPr>
        <w:t xml:space="preserve"> </w:t>
      </w:r>
      <w:r>
        <w:rPr>
          <w:rFonts w:hint="default" w:ascii="Times New Roman" w:hAnsi="Times New Roman" w:cs="Times New Roman"/>
          <w:lang w:val="en-US" w:eastAsia="zh-CN"/>
        </w:rPr>
        <w:t xml:space="preserve">电感耦合等离子体发射光谱法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819 排污单位自行监测技术指南 总则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836 固定污染源废气 低浓度颗粒物的测定 重量法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905 恶臭污染环境监测技术规范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916 环境二噁英类监测技术规范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917 固定污染源废气 气态汞的测定 活性炭吸附/热裂解原子吸收分光光度法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973 固定污染源废气 一氧化碳的测定 定电位电解法 </w:t>
      </w:r>
    </w:p>
    <w:p>
      <w:pPr>
        <w:autoSpaceDE w:val="0"/>
        <w:autoSpaceDN w:val="0"/>
        <w:adjustRightInd w:val="0"/>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HJ 1024 固体废物 热灼减率的测定</w:t>
      </w:r>
      <w:r>
        <w:rPr>
          <w:rFonts w:hint="eastAsia" w:ascii="Times New Roman" w:hAnsi="Times New Roman" w:eastAsia="宋体" w:cs="Times New Roman"/>
          <w:color w:val="000000"/>
          <w:szCs w:val="21"/>
          <w:lang w:val="en-US" w:eastAsia="zh-CN"/>
        </w:rPr>
        <w:t xml:space="preserve"> </w:t>
      </w:r>
      <w:r>
        <w:rPr>
          <w:rFonts w:ascii="Times New Roman" w:hAnsi="Times New Roman" w:eastAsia="宋体" w:cs="Times New Roman"/>
          <w:color w:val="000000"/>
          <w:szCs w:val="21"/>
        </w:rPr>
        <w:t>重量法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1131 固定污染源废气 二氧化硫的测定 便携式紫外吸收法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1132 固定污染源废气 氮氧化物的测定 便携式紫外吸收法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1133 环境空气和废气 颗粒物中砷、硒、铋、锑的测定 原子荧光法 </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HJ 1205 排污单位自行监测技术指南 固体废物焚烧 </w:t>
      </w:r>
    </w:p>
    <w:p>
      <w:pPr>
        <w:pStyle w:val="16"/>
        <w:ind w:left="1264" w:leftChars="200" w:hanging="844" w:hangingChars="402"/>
        <w:rPr>
          <w:rFonts w:hint="default" w:ascii="Times New Roman" w:hAnsi="Times New Roman" w:cs="Times New Roman"/>
          <w:lang w:val="en-US" w:eastAsia="zh-CN"/>
        </w:rPr>
      </w:pPr>
      <w:r>
        <w:rPr>
          <w:rFonts w:hint="default" w:ascii="Times New Roman" w:hAnsi="Times New Roman" w:cs="Times New Roman"/>
          <w:lang w:val="en-US" w:eastAsia="zh-CN"/>
        </w:rPr>
        <w:t>HJ</w:t>
      </w:r>
      <w:r>
        <w:rPr>
          <w:rFonts w:hint="eastAsia" w:ascii="Times New Roman" w:cs="Times New Roman"/>
          <w:lang w:val="en-US" w:eastAsia="zh-CN"/>
        </w:rPr>
        <w:t xml:space="preserve"> 1240 固定污染源废气 气态污染物（SO</w:t>
      </w:r>
      <w:r>
        <w:rPr>
          <w:rFonts w:hint="eastAsia" w:ascii="Times New Roman" w:cs="Times New Roman"/>
          <w:vertAlign w:val="subscript"/>
          <w:lang w:val="en-US" w:eastAsia="zh-CN"/>
        </w:rPr>
        <w:t>2</w:t>
      </w:r>
      <w:r>
        <w:rPr>
          <w:rFonts w:hint="eastAsia" w:ascii="Times New Roman" w:cs="Times New Roman"/>
          <w:lang w:val="en-US" w:eastAsia="zh-CN"/>
        </w:rPr>
        <w:t>、NO、NO</w:t>
      </w:r>
      <w:r>
        <w:rPr>
          <w:rFonts w:hint="eastAsia" w:ascii="Times New Roman" w:cs="Times New Roman"/>
          <w:vertAlign w:val="subscript"/>
          <w:lang w:val="en-US" w:eastAsia="zh-CN"/>
        </w:rPr>
        <w:t>2</w:t>
      </w:r>
      <w:r>
        <w:rPr>
          <w:rFonts w:hint="eastAsia" w:ascii="Times New Roman" w:cs="Times New Roman"/>
          <w:lang w:val="en-US" w:eastAsia="zh-CN"/>
        </w:rPr>
        <w:t>、CO、CO</w:t>
      </w:r>
      <w:r>
        <w:rPr>
          <w:rFonts w:hint="eastAsia" w:ascii="Times New Roman" w:cs="Times New Roman"/>
          <w:vertAlign w:val="subscript"/>
          <w:lang w:val="en-US" w:eastAsia="zh-CN"/>
        </w:rPr>
        <w:t>2</w:t>
      </w:r>
      <w:r>
        <w:rPr>
          <w:rFonts w:hint="eastAsia" w:ascii="Times New Roman" w:cs="Times New Roman"/>
          <w:lang w:val="en-US" w:eastAsia="zh-CN"/>
        </w:rPr>
        <w:t>）的测定 便携式傅立叶变换红外光谱法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w:t>
      </w:r>
      <w:r>
        <w:rPr>
          <w:rFonts w:hint="eastAsia" w:ascii="Times New Roman" w:cs="Times New Roman"/>
          <w:lang w:val="en-US" w:eastAsia="zh-CN"/>
        </w:rPr>
        <w:t xml:space="preserve"> 1330 固定污染源废气 氨和氯化氢的测定 便携式傅立叶变换红外光谱法</w:t>
      </w:r>
    </w:p>
    <w:p>
      <w:pPr>
        <w:pStyle w:val="16"/>
        <w:ind w:firstLine="420"/>
        <w:rPr>
          <w:rFonts w:hint="default" w:ascii="Times New Roman" w:hAnsi="Times New Roman" w:cs="Times New Roman"/>
          <w:lang w:val="en-US" w:eastAsia="zh-CN"/>
        </w:rPr>
      </w:pPr>
      <w:r>
        <w:rPr>
          <w:rFonts w:hint="default" w:ascii="Times New Roman" w:hAnsi="Times New Roman" w:cs="Times New Roman"/>
          <w:lang w:val="en-US" w:eastAsia="zh-CN"/>
        </w:rPr>
        <w:t>HJ</w:t>
      </w:r>
      <w:r>
        <w:rPr>
          <w:rFonts w:hint="eastAsia" w:ascii="Times New Roman" w:cs="Times New Roman"/>
          <w:lang w:val="en-US" w:eastAsia="zh-CN"/>
        </w:rPr>
        <w:t xml:space="preserve"> </w:t>
      </w:r>
      <w:r>
        <w:rPr>
          <w:rFonts w:hint="default" w:ascii="Times New Roman" w:hAnsi="Times New Roman" w:cs="Times New Roman"/>
          <w:lang w:val="en-US" w:eastAsia="zh-CN"/>
        </w:rPr>
        <w:t>1403</w:t>
      </w:r>
      <w:r>
        <w:rPr>
          <w:rFonts w:hint="eastAsia" w:ascii="Times New Roman" w:cs="Times New Roman"/>
          <w:lang w:val="en-US" w:eastAsia="zh-CN"/>
        </w:rPr>
        <w:t xml:space="preserve"> </w:t>
      </w:r>
      <w:r>
        <w:rPr>
          <w:rFonts w:hint="default" w:ascii="Times New Roman" w:hAnsi="Times New Roman" w:cs="Times New Roman"/>
          <w:lang w:val="en-US" w:eastAsia="zh-CN"/>
        </w:rPr>
        <w:t>固定污染源废气一氧化碳和氯化氢自动监测技术规范</w:t>
      </w:r>
    </w:p>
    <w:p>
      <w:pPr>
        <w:pStyle w:val="16"/>
        <w:ind w:firstLine="42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HJ 2025 危险废物收集 贮存 运输技术规范 </w:t>
      </w:r>
    </w:p>
    <w:p>
      <w:pPr>
        <w:pStyle w:val="16"/>
        <w:ind w:firstLine="42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DB</w:t>
      </w:r>
      <w:r>
        <w:rPr>
          <w:rFonts w:hint="eastAsia" w:ascii="Times New Roman" w:cs="Times New Roman"/>
          <w:highlight w:val="none"/>
          <w:lang w:val="en-US" w:eastAsia="zh-CN"/>
        </w:rPr>
        <w:t xml:space="preserve"> </w:t>
      </w:r>
      <w:r>
        <w:rPr>
          <w:rFonts w:hint="default" w:ascii="Times New Roman" w:hAnsi="Times New Roman" w:cs="Times New Roman"/>
          <w:highlight w:val="none"/>
          <w:lang w:val="en-US" w:eastAsia="zh-CN"/>
        </w:rPr>
        <w:t>12/059 恶臭污染物排放标准</w:t>
      </w:r>
    </w:p>
    <w:p>
      <w:pPr>
        <w:pStyle w:val="16"/>
        <w:ind w:firstLine="420"/>
        <w:rPr>
          <w:rFonts w:hint="default" w:ascii="Times New Roman" w:hAnsi="Times New Roman" w:cs="Times New Roman"/>
        </w:rPr>
      </w:pPr>
      <w:r>
        <w:rPr>
          <w:rFonts w:hint="default" w:ascii="Times New Roman" w:hAnsi="Times New Roman" w:cs="Times New Roman"/>
          <w:highlight w:val="none"/>
          <w:lang w:val="en-US" w:eastAsia="zh-CN"/>
        </w:rPr>
        <w:t>《污染源自动监控管理办法》（原国家环境保护总</w:t>
      </w:r>
      <w:r>
        <w:rPr>
          <w:rFonts w:hint="default" w:ascii="Times New Roman" w:hAnsi="Times New Roman" w:cs="Times New Roman"/>
          <w:lang w:val="en-US" w:eastAsia="zh-CN"/>
        </w:rPr>
        <w:t>局令 第 28号）</w:t>
      </w:r>
    </w:p>
    <w:p>
      <w:pPr>
        <w:pStyle w:val="27"/>
        <w:spacing w:before="312" w:after="312"/>
        <w:rPr>
          <w:rFonts w:hint="eastAsia"/>
        </w:rPr>
      </w:pPr>
      <w:bookmarkStart w:id="23" w:name="_Toc14926"/>
      <w:r>
        <w:rPr>
          <w:rFonts w:hint="eastAsia"/>
        </w:rPr>
        <w:t>术语和定义</w:t>
      </w:r>
      <w:bookmarkEnd w:id="23"/>
    </w:p>
    <w:p>
      <w:pPr>
        <w:autoSpaceDE w:val="0"/>
        <w:autoSpaceDN w:val="0"/>
        <w:adjustRightInd w:val="0"/>
        <w:spacing w:after="156" w:afterLines="50"/>
        <w:ind w:firstLine="420" w:firstLineChars="200"/>
        <w:rPr>
          <w:rFonts w:ascii="Times New Roman" w:hAnsi="Times New Roman" w:eastAsia="宋体" w:cs="Times New Roman"/>
          <w:color w:val="000000"/>
          <w:szCs w:val="21"/>
        </w:rPr>
      </w:pPr>
      <w:bookmarkStart w:id="24" w:name="_Hlk38552765"/>
      <w:r>
        <w:rPr>
          <w:rFonts w:ascii="Times New Roman" w:hAnsi="Times New Roman" w:eastAsia="宋体" w:cs="Times New Roman"/>
          <w:color w:val="000000"/>
          <w:szCs w:val="21"/>
        </w:rPr>
        <w:t>GB 1848</w:t>
      </w:r>
      <w:r>
        <w:rPr>
          <w:rFonts w:hint="eastAsia" w:ascii="Times New Roman" w:hAnsi="Times New Roman" w:eastAsia="宋体" w:cs="Times New Roman"/>
          <w:color w:val="000000"/>
          <w:szCs w:val="21"/>
          <w:lang w:val="en-US" w:eastAsia="zh-CN"/>
        </w:rPr>
        <w:t>4界定的以及下列术语和定义适用于本文件。</w:t>
      </w:r>
    </w:p>
    <w:bookmarkEnd w:id="24"/>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危险废物hazardous waste</w:t>
      </w:r>
    </w:p>
    <w:p>
      <w:pPr>
        <w:pStyle w:val="10"/>
        <w:rPr>
          <w:rFonts w:hint="default" w:hAnsi="Times New Roman" w:cs="Times New Roman"/>
          <w:szCs w:val="20"/>
          <w:lang w:val="en-US" w:eastAsia="zh-CN"/>
        </w:rPr>
      </w:pPr>
      <w:r>
        <w:rPr>
          <w:rFonts w:hint="default" w:hAnsi="Times New Roman" w:cs="Times New Roman"/>
          <w:szCs w:val="20"/>
          <w:lang w:val="en-US" w:eastAsia="zh-CN"/>
        </w:rPr>
        <w:t>列入国家危险废物名录或者根据国家规定的危险废物鉴别标准和鉴别方法认定的具有危险特性的固体废物。</w:t>
      </w:r>
    </w:p>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焚烧incineration</w:t>
      </w:r>
    </w:p>
    <w:p>
      <w:pPr>
        <w:pStyle w:val="10"/>
        <w:keepNext w:val="0"/>
        <w:keepLines w:val="0"/>
        <w:pageBreakBefore w:val="0"/>
        <w:widowControl/>
        <w:kinsoku/>
        <w:wordWrap/>
        <w:overflowPunct/>
        <w:topLinePunct w:val="0"/>
        <w:autoSpaceDE w:val="0"/>
        <w:autoSpaceDN w:val="0"/>
        <w:bidi w:val="0"/>
        <w:adjustRightInd/>
        <w:snapToGrid/>
        <w:textAlignment w:val="auto"/>
        <w:rPr>
          <w:rFonts w:hint="eastAsia" w:ascii="Times New Roman" w:hAnsi="Times New Roman"/>
          <w:color w:val="000000"/>
          <w:sz w:val="21"/>
          <w:szCs w:val="21"/>
        </w:rPr>
      </w:pPr>
      <w:r>
        <w:rPr>
          <w:rFonts w:hint="eastAsia" w:ascii="Times New Roman" w:hAnsi="Times New Roman"/>
          <w:color w:val="000000"/>
          <w:sz w:val="21"/>
          <w:szCs w:val="21"/>
        </w:rPr>
        <w:t>危险废物在高温条件下发生燃烧等反应，实现无害化和减量化的过程</w:t>
      </w:r>
      <w:r>
        <w:rPr>
          <w:rFonts w:ascii="Times New Roman" w:hAnsi="Times New Roman"/>
          <w:color w:val="000000"/>
          <w:sz w:val="21"/>
          <w:szCs w:val="21"/>
        </w:rPr>
        <w:t>。</w:t>
      </w:r>
    </w:p>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焚烧设施incineration facility</w:t>
      </w:r>
    </w:p>
    <w:p>
      <w:pPr>
        <w:pStyle w:val="4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ind w:firstLine="420" w:firstLineChars="200"/>
        <w:textAlignment w:val="baseline"/>
        <w:rPr>
          <w:rFonts w:hint="eastAsia" w:ascii="宋体" w:hAnsi="Times New Roman" w:eastAsia="宋体" w:cs="Times New Roman"/>
          <w:sz w:val="21"/>
        </w:rPr>
      </w:pPr>
      <w:r>
        <w:rPr>
          <w:rFonts w:hint="eastAsia" w:ascii="宋体" w:hAnsi="Times New Roman" w:eastAsia="宋体" w:cs="Times New Roman"/>
          <w:sz w:val="21"/>
        </w:rPr>
        <w:t>以焚烧方式处置危险废物，达到减少数量、缩小体积、消除其危险特性目的的装置，包括进料装置、焚烧炉、烟气净化装置和控制系统等。</w:t>
      </w:r>
    </w:p>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热灼减率loss on ignition</w:t>
      </w:r>
    </w:p>
    <w:p>
      <w:pPr>
        <w:pStyle w:val="1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焚烧残渣经灼烧减少的质量与原焚烧残渣质量的百分比。根据公式（</w:t>
      </w:r>
      <w:r>
        <w:rPr>
          <w:rFonts w:hint="default" w:ascii="Times New Roman" w:hAnsi="Times New Roman" w:cs="Times New Roman"/>
          <w:szCs w:val="20"/>
          <w:lang w:val="en-US" w:eastAsia="zh-CN"/>
        </w:rPr>
        <w:t>1</w:t>
      </w:r>
      <w:r>
        <w:rPr>
          <w:rFonts w:hint="eastAsia" w:ascii="Times New Roman" w:hAnsi="Times New Roman" w:cs="Times New Roman"/>
          <w:szCs w:val="20"/>
          <w:lang w:val="en-US" w:eastAsia="zh-CN"/>
        </w:rPr>
        <w:t>）计算：</w:t>
      </w:r>
    </w:p>
    <w:p>
      <w:pPr>
        <w:ind w:firstLine="2100" w:firstLineChars="1000"/>
        <w:rPr>
          <w:rFonts w:hAnsi="宋体"/>
          <w:bCs/>
        </w:rPr>
      </w:pPr>
      <m:oMathPara>
        <m:oMathParaPr>
          <m:jc m:val="right"/>
        </m:oMathParaPr>
        <m:oMath>
          <m:r>
            <m:rPr/>
            <w:rPr>
              <w:rFonts w:hint="eastAsia" w:ascii="Cambria Math" w:hAnsi="Cambria Math"/>
            </w:rPr>
            <m:t>P</m:t>
          </m:r>
          <m:r>
            <m:rPr>
              <m:sty m:val="p"/>
            </m:rPr>
            <w:rPr>
              <w:rFonts w:hint="eastAsia" w:ascii="Cambria Math" w:hAnsi="Cambria Math"/>
            </w:rPr>
            <m:t>=</m:t>
          </m:r>
          <m:f>
            <m:fPr>
              <m:ctrlPr>
                <w:rPr>
                  <w:rFonts w:hint="eastAsia" w:ascii="Cambria Math" w:hAnsi="Cambria Math"/>
                  <w:bCs/>
                </w:rPr>
              </m:ctrlPr>
            </m:fPr>
            <m:num>
              <m:r>
                <m:rPr/>
                <w:rPr>
                  <w:rFonts w:hint="eastAsia" w:ascii="Cambria Math" w:hAnsi="Cambria Math"/>
                </w:rPr>
                <m:t>（A</m:t>
              </m:r>
              <m:r>
                <m:rPr>
                  <m:sty m:val="p"/>
                </m:rPr>
                <w:rPr>
                  <w:rFonts w:hint="eastAsia" w:ascii="微软雅黑" w:hAnsi="微软雅黑" w:eastAsia="微软雅黑" w:cs="微软雅黑"/>
                </w:rPr>
                <m:t>−</m:t>
              </m:r>
              <m:r>
                <m:rPr/>
                <w:rPr>
                  <w:rFonts w:hint="eastAsia" w:ascii="Cambria Math" w:hAnsi="Cambria Math"/>
                </w:rPr>
                <m:t>B）</m:t>
              </m:r>
              <m:ctrlPr>
                <w:rPr>
                  <w:rFonts w:hint="eastAsia" w:ascii="Cambria Math" w:hAnsi="Cambria Math"/>
                  <w:bCs/>
                </w:rPr>
              </m:ctrlPr>
            </m:num>
            <m:den>
              <m:r>
                <m:rPr/>
                <w:rPr>
                  <w:rFonts w:hint="eastAsia" w:ascii="Cambria Math" w:hAnsi="Cambria Math"/>
                </w:rPr>
                <m:t>A</m:t>
              </m:r>
              <m:ctrlPr>
                <w:rPr>
                  <w:rFonts w:hint="eastAsia" w:ascii="Cambria Math" w:hAnsi="Cambria Math"/>
                  <w:bCs/>
                </w:rPr>
              </m:ctrlPr>
            </m:den>
          </m:f>
          <m:r>
            <m:rPr>
              <m:sty m:val="p"/>
            </m:rPr>
            <w:rPr>
              <w:rFonts w:hint="eastAsia" w:ascii="Cambria Math" w:hAnsi="Cambria Math"/>
            </w:rPr>
            <m:t>×100%</m:t>
          </m:r>
          <m:r>
            <m:rPr/>
            <w:rPr>
              <w:rFonts w:hint="eastAsia" w:ascii="Cambria Math" w:hAnsi="Cambria Math"/>
              <w:lang w:val="en-US" w:eastAsia="zh-CN"/>
            </w:rPr>
            <m:t>············································</m:t>
          </m:r>
          <m:r>
            <m:rPr>
              <m:sty m:val="p"/>
            </m:rPr>
            <w:rPr>
              <w:rFonts w:hint="eastAsia" w:ascii="Cambria Math" w:hAnsi="Cambria Math"/>
              <w:lang w:val="en-US" w:eastAsia="zh-CN"/>
            </w:rPr>
            <m:t>（</m:t>
          </m:r>
          <m:r>
            <m:rPr>
              <m:sty m:val="p"/>
            </m:rPr>
            <w:rPr>
              <w:rFonts w:hint="default" w:ascii="Cambria Math" w:hAnsi="Cambria Math"/>
              <w:lang w:val="en-US" w:eastAsia="zh-CN"/>
            </w:rPr>
            <m:t>1</m:t>
          </m:r>
          <m:r>
            <m:rPr>
              <m:sty m:val="p"/>
            </m:rPr>
            <w:rPr>
              <w:rFonts w:hint="eastAsia" w:ascii="Cambria Math" w:hAnsi="Cambria Math"/>
              <w:lang w:val="en-US" w:eastAsia="zh-CN"/>
            </w:rPr>
            <m:t>）</m:t>
          </m:r>
        </m:oMath>
      </m:oMathPara>
    </w:p>
    <w:p>
      <w:pPr>
        <w:pStyle w:val="10"/>
        <w:rPr>
          <w:rFonts w:hint="eastAsia" w:ascii="Times New Roman" w:hAnsi="Times New Roman" w:cs="Times New Roman"/>
          <w:szCs w:val="20"/>
          <w:lang w:val="en-US" w:eastAsia="zh-CN"/>
        </w:rPr>
      </w:pPr>
      <w:r>
        <w:rPr>
          <w:rFonts w:hint="eastAsia" w:ascii="Times New Roman" w:hAnsi="Times New Roman" w:cs="Times New Roman"/>
          <w:szCs w:val="20"/>
          <w:lang w:val="en-US" w:eastAsia="zh-CN"/>
        </w:rPr>
        <w:t xml:space="preserve">式中： </w:t>
      </w:r>
    </w:p>
    <w:p>
      <w:pPr>
        <w:pStyle w:val="10"/>
        <w:rPr>
          <w:rFonts w:hint="eastAsia" w:ascii="Times New Roman" w:hAnsi="Times New Roman" w:cs="Times New Roman"/>
          <w:szCs w:val="20"/>
          <w:lang w:val="en-US" w:eastAsia="zh-CN"/>
        </w:rPr>
      </w:pPr>
      <w:r>
        <w:rPr>
          <w:rFonts w:hint="default" w:ascii="Times New Roman" w:hAnsi="Times New Roman" w:cs="Times New Roman"/>
          <w:szCs w:val="20"/>
          <w:lang w:val="en-US" w:eastAsia="zh-CN"/>
        </w:rPr>
        <w:t>P—</w:t>
      </w:r>
      <w:r>
        <w:rPr>
          <w:rFonts w:hint="eastAsia" w:ascii="Times New Roman" w:hAnsi="Times New Roman" w:cs="Times New Roman"/>
          <w:szCs w:val="20"/>
          <w:lang w:val="en-US" w:eastAsia="zh-CN"/>
        </w:rPr>
        <w:t>热灼减率，</w:t>
      </w:r>
      <w:r>
        <w:rPr>
          <w:rFonts w:hint="default" w:ascii="Times New Roman" w:hAnsi="Times New Roman" w:cs="Times New Roman"/>
          <w:szCs w:val="20"/>
          <w:lang w:val="en-US" w:eastAsia="zh-CN"/>
        </w:rPr>
        <w:t>%</w:t>
      </w:r>
      <w:r>
        <w:rPr>
          <w:rFonts w:hint="eastAsia" w:ascii="Times New Roman" w:hAnsi="Times New Roman" w:cs="Times New Roman"/>
          <w:szCs w:val="20"/>
          <w:lang w:val="en-US" w:eastAsia="zh-CN"/>
        </w:rPr>
        <w:t xml:space="preserve">； </w:t>
      </w:r>
    </w:p>
    <w:p>
      <w:pPr>
        <w:pStyle w:val="10"/>
        <w:rPr>
          <w:rFonts w:hint="eastAsia" w:ascii="Times New Roman" w:hAnsi="Times New Roman" w:cs="Times New Roman"/>
          <w:szCs w:val="20"/>
          <w:lang w:val="en-US" w:eastAsia="zh-CN"/>
        </w:rPr>
      </w:pPr>
      <w:r>
        <w:rPr>
          <w:rFonts w:hint="default" w:ascii="Times New Roman" w:hAnsi="Times New Roman" w:cs="Times New Roman"/>
          <w:szCs w:val="20"/>
          <w:lang w:val="en-US" w:eastAsia="zh-CN"/>
        </w:rPr>
        <w:t>A—</w:t>
      </w:r>
      <w:r>
        <w:rPr>
          <w:rFonts w:hint="eastAsia" w:ascii="Times New Roman" w:hAnsi="Times New Roman" w:cs="Times New Roman"/>
          <w:szCs w:val="20"/>
          <w:lang w:val="en-US" w:eastAsia="zh-CN"/>
        </w:rPr>
        <w:t>（</w:t>
      </w:r>
      <w:r>
        <w:rPr>
          <w:rFonts w:hint="default" w:ascii="Times New Roman" w:hAnsi="Times New Roman" w:cs="Times New Roman"/>
          <w:szCs w:val="20"/>
          <w:lang w:val="en-US" w:eastAsia="zh-CN"/>
        </w:rPr>
        <w:t>105±25</w:t>
      </w:r>
      <w:r>
        <w:rPr>
          <w:rFonts w:hint="eastAsia" w:ascii="Times New Roman" w:hAnsi="Times New Roman" w:cs="Times New Roman"/>
          <w:szCs w:val="20"/>
          <w:lang w:val="en-US" w:eastAsia="zh-CN"/>
        </w:rPr>
        <w:t>）℃干燥</w:t>
      </w:r>
      <w:r>
        <w:rPr>
          <w:rFonts w:hint="default" w:ascii="Times New Roman" w:hAnsi="Times New Roman" w:cs="Times New Roman"/>
          <w:szCs w:val="20"/>
          <w:lang w:val="en-US" w:eastAsia="zh-CN"/>
        </w:rPr>
        <w:t>1.0h</w:t>
      </w:r>
      <w:r>
        <w:rPr>
          <w:rFonts w:hint="eastAsia" w:ascii="Times New Roman" w:hAnsi="Times New Roman" w:cs="Times New Roman"/>
          <w:szCs w:val="20"/>
          <w:lang w:val="en-US" w:eastAsia="zh-CN"/>
        </w:rPr>
        <w:t>后的原始焚烧残渣在室温下的质量，</w:t>
      </w:r>
      <w:r>
        <w:rPr>
          <w:rFonts w:hint="default" w:ascii="Times New Roman" w:hAnsi="Times New Roman" w:cs="Times New Roman"/>
          <w:szCs w:val="20"/>
          <w:lang w:val="en-US" w:eastAsia="zh-CN"/>
        </w:rPr>
        <w:t>g</w:t>
      </w:r>
      <w:r>
        <w:rPr>
          <w:rFonts w:hint="eastAsia" w:ascii="Times New Roman" w:hAnsi="Times New Roman" w:cs="Times New Roman"/>
          <w:szCs w:val="20"/>
          <w:lang w:val="en-US" w:eastAsia="zh-CN"/>
        </w:rPr>
        <w:t>；</w:t>
      </w:r>
    </w:p>
    <w:p>
      <w:pPr>
        <w:pStyle w:val="10"/>
        <w:rPr>
          <w:rFonts w:hint="eastAsia" w:ascii="Times New Roman" w:hAnsi="Times New Roman" w:cs="Times New Roman"/>
          <w:szCs w:val="20"/>
          <w:lang w:val="en-US" w:eastAsia="zh-CN"/>
        </w:rPr>
      </w:pPr>
      <w:r>
        <w:rPr>
          <w:rFonts w:hint="default" w:ascii="Times New Roman" w:hAnsi="Times New Roman" w:cs="Times New Roman"/>
          <w:szCs w:val="20"/>
          <w:lang w:val="en-US" w:eastAsia="zh-CN"/>
        </w:rPr>
        <w:t>B—</w:t>
      </w:r>
      <w:r>
        <w:rPr>
          <w:rFonts w:hint="eastAsia" w:ascii="Times New Roman" w:hAnsi="Times New Roman" w:cs="Times New Roman"/>
          <w:szCs w:val="20"/>
          <w:lang w:val="en-US" w:eastAsia="zh-CN"/>
        </w:rPr>
        <w:t>焚烧残渣经（</w:t>
      </w:r>
      <w:r>
        <w:rPr>
          <w:rFonts w:hint="default" w:ascii="Times New Roman" w:hAnsi="Times New Roman" w:cs="Times New Roman"/>
          <w:szCs w:val="20"/>
          <w:lang w:val="en-US" w:eastAsia="zh-CN"/>
        </w:rPr>
        <w:t>600±25</w:t>
      </w:r>
      <w:r>
        <w:rPr>
          <w:rFonts w:hint="eastAsia" w:ascii="Times New Roman" w:hAnsi="Times New Roman" w:cs="Times New Roman"/>
          <w:szCs w:val="20"/>
          <w:lang w:val="en-US" w:eastAsia="zh-CN"/>
        </w:rPr>
        <w:t>）℃灼烧</w:t>
      </w:r>
      <w:r>
        <w:rPr>
          <w:rFonts w:hint="default" w:ascii="Times New Roman" w:hAnsi="Times New Roman" w:cs="Times New Roman"/>
          <w:szCs w:val="20"/>
          <w:lang w:val="en-US" w:eastAsia="zh-CN"/>
        </w:rPr>
        <w:t>3.0h</w:t>
      </w:r>
      <w:r>
        <w:rPr>
          <w:rFonts w:hint="eastAsia" w:ascii="Times New Roman" w:hAnsi="Times New Roman" w:cs="Times New Roman"/>
          <w:szCs w:val="20"/>
          <w:lang w:val="en-US" w:eastAsia="zh-CN"/>
        </w:rPr>
        <w:t>后冷却至室温的质量，</w:t>
      </w:r>
      <w:r>
        <w:rPr>
          <w:rFonts w:hint="default" w:ascii="Times New Roman" w:hAnsi="Times New Roman" w:cs="Times New Roman"/>
          <w:szCs w:val="20"/>
          <w:lang w:val="en-US" w:eastAsia="zh-CN"/>
        </w:rPr>
        <w:t>g</w:t>
      </w:r>
      <w:r>
        <w:rPr>
          <w:rFonts w:hint="eastAsia" w:ascii="Times New Roman" w:hAnsi="Times New Roman" w:cs="Times New Roman"/>
          <w:szCs w:val="20"/>
          <w:lang w:val="en-US" w:eastAsia="zh-CN"/>
        </w:rPr>
        <w:t>。</w:t>
      </w:r>
    </w:p>
    <w:p>
      <w:pPr>
        <w:pStyle w:val="28"/>
        <w:numPr>
          <w:ilvl w:val="2"/>
          <w:numId w:val="0"/>
        </w:numPr>
        <w:ind w:leftChars="-200"/>
        <w:rPr>
          <w:rFonts w:ascii="黑体" w:hAnsi="黑体" w:eastAsia="黑体"/>
        </w:rPr>
      </w:pPr>
    </w:p>
    <w:p>
      <w:pPr>
        <w:pStyle w:val="28"/>
        <w:ind w:left="420" w:hanging="420" w:hangingChars="200"/>
        <w:rPr>
          <w:rFonts w:ascii="黑体" w:hAnsi="黑体" w:eastAsia="黑体"/>
        </w:rPr>
      </w:pPr>
      <w:r>
        <w:rPr>
          <w:rFonts w:ascii="黑体" w:hAnsi="黑体" w:eastAsia="黑体"/>
        </w:rPr>
        <w:br w:type="textWrapping"/>
      </w:r>
      <w:r>
        <w:rPr>
          <w:rFonts w:ascii="黑体" w:hAnsi="黑体" w:eastAsia="黑体"/>
        </w:rPr>
        <w:t>二噁英类dibenzo-p-dioxins and dibenzofurans</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多氯代二苯并-对-二噁英（PCDD</w:t>
      </w:r>
      <w:r>
        <w:rPr>
          <w:rFonts w:hint="default" w:ascii="Times New Roman" w:hAnsi="Times New Roman" w:cs="Times New Roman"/>
          <w:szCs w:val="20"/>
          <w:vertAlign w:val="subscript"/>
          <w:lang w:val="en-US" w:eastAsia="zh-CN"/>
        </w:rPr>
        <w:t>S</w:t>
      </w:r>
      <w:r>
        <w:rPr>
          <w:rFonts w:hint="default" w:ascii="Times New Roman" w:hAnsi="Times New Roman" w:cs="Times New Roman"/>
          <w:szCs w:val="20"/>
          <w:lang w:val="en-US" w:eastAsia="zh-CN"/>
        </w:rPr>
        <w:t>）和多氯代二苯并呋喃（PCDF</w:t>
      </w:r>
      <w:r>
        <w:rPr>
          <w:rFonts w:hint="default" w:ascii="Times New Roman" w:hAnsi="Times New Roman" w:cs="Times New Roman"/>
          <w:szCs w:val="20"/>
          <w:vertAlign w:val="subscript"/>
          <w:lang w:val="en-US" w:eastAsia="zh-CN"/>
        </w:rPr>
        <w:t>S</w:t>
      </w:r>
      <w:r>
        <w:rPr>
          <w:rFonts w:hint="default" w:ascii="Times New Roman" w:hAnsi="Times New Roman" w:cs="Times New Roman"/>
          <w:szCs w:val="20"/>
          <w:lang w:val="en-US" w:eastAsia="zh-CN"/>
        </w:rPr>
        <w:t>）的总称。</w:t>
      </w:r>
    </w:p>
    <w:p>
      <w:pPr>
        <w:pStyle w:val="28"/>
        <w:ind w:left="420" w:hanging="420" w:hangingChars="200"/>
        <w:rPr>
          <w:rFonts w:ascii="黑体" w:hAnsi="黑体" w:eastAsia="黑体"/>
        </w:rPr>
      </w:pPr>
      <w:r>
        <w:rPr>
          <w:rFonts w:ascii="黑体" w:hAnsi="黑体" w:eastAsia="黑体"/>
        </w:rPr>
        <w:br w:type="textWrapping"/>
      </w:r>
      <w:r>
        <w:rPr>
          <w:rFonts w:ascii="黑体" w:hAnsi="黑体" w:eastAsia="黑体"/>
        </w:rPr>
        <w:t>毒性当量因子toxic equivalency factor（TEF）</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二噁英类同类物与2,3,7,8-四氯代二苯并-对-二噁英对芳香烃受体（Ah受体）的亲和性能之比。典型二噁英类同类物毒性当量因子见附录A。</w:t>
      </w:r>
    </w:p>
    <w:p>
      <w:pPr>
        <w:pStyle w:val="28"/>
        <w:ind w:left="420" w:hanging="420" w:hangingChars="200"/>
        <w:rPr>
          <w:rFonts w:ascii="黑体" w:hAnsi="黑体" w:eastAsia="黑体"/>
        </w:rPr>
      </w:pPr>
      <w:r>
        <w:rPr>
          <w:rFonts w:ascii="黑体" w:hAnsi="黑体" w:eastAsia="黑体"/>
        </w:rPr>
        <w:br w:type="textWrapping"/>
      </w:r>
      <w:r>
        <w:rPr>
          <w:rFonts w:ascii="黑体" w:hAnsi="黑体" w:eastAsia="黑体"/>
        </w:rPr>
        <w:t>毒性当量toxic equivalent quantity（TEQ）</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各二噁英类同类物浓度折算为相当于2,3,7,8-四氯代二苯并-对-二噁英毒性的等价浓度，毒性当量为实测浓度与该异构体的毒性当量因子的乘积。根据公式（</w:t>
      </w:r>
      <w:r>
        <w:rPr>
          <w:rFonts w:hint="eastAsia" w:ascii="Times New Roman" w:hAnsi="Times New Roman" w:cs="Times New Roman"/>
          <w:szCs w:val="20"/>
          <w:lang w:val="en-US" w:eastAsia="zh-CN"/>
        </w:rPr>
        <w:t>2</w:t>
      </w:r>
      <w:r>
        <w:rPr>
          <w:rFonts w:hint="default" w:ascii="Times New Roman" w:hAnsi="Times New Roman" w:cs="Times New Roman"/>
          <w:szCs w:val="20"/>
          <w:lang w:val="en-US" w:eastAsia="zh-CN"/>
        </w:rPr>
        <w:t>）计算：</w:t>
      </w:r>
    </w:p>
    <w:p>
      <w:pPr>
        <w:pStyle w:val="16"/>
        <w:ind w:firstLine="420"/>
        <w:jc w:val="center"/>
      </w:pPr>
      <m:oMathPara>
        <m:oMathParaPr>
          <m:jc m:val="right"/>
        </m:oMathParaPr>
        <m:oMath>
          <m:r>
            <m:rPr>
              <m:sty m:val="p"/>
            </m:rPr>
            <w:rPr>
              <w:rFonts w:hint="default" w:ascii="Cambria Math" w:hAnsi="Cambria Math"/>
              <w:szCs w:val="21"/>
              <w:lang w:val="en-US" w:eastAsia="zh-CN"/>
            </w:rPr>
            <m:t>TEQ</m:t>
          </m:r>
          <m:r>
            <m:rPr>
              <m:sty m:val="p"/>
            </m:rPr>
            <w:rPr>
              <w:rFonts w:hint="eastAsia" w:ascii="Cambria Math" w:hAnsi="Cambria Math"/>
              <w:szCs w:val="21"/>
            </w:rPr>
            <m:t>=</m:t>
          </m:r>
          <m:nary>
            <m:naryPr>
              <m:chr m:val="∑"/>
              <m:limLoc m:val="undOvr"/>
              <m:subHide m:val="1"/>
              <m:supHide m:val="1"/>
              <m:ctrlPr>
                <w:rPr>
                  <w:rFonts w:hint="eastAsia" w:ascii="Cambria Math" w:hAnsi="Cambria Math"/>
                  <w:b w:val="0"/>
                  <w:i w:val="0"/>
                  <w:szCs w:val="21"/>
                </w:rPr>
              </m:ctrlPr>
            </m:naryPr>
            <m:sub>
              <m:ctrlPr>
                <w:rPr>
                  <w:rFonts w:hint="eastAsia" w:ascii="Cambria Math" w:hAnsi="Cambria Math"/>
                  <w:b w:val="0"/>
                  <w:i w:val="0"/>
                  <w:szCs w:val="21"/>
                </w:rPr>
              </m:ctrlPr>
            </m:sub>
            <m:sup>
              <m:ctrlPr>
                <w:rPr>
                  <w:rFonts w:hint="eastAsia" w:ascii="Cambria Math" w:hAnsi="Cambria Math"/>
                  <w:b w:val="0"/>
                  <w:i w:val="0"/>
                  <w:szCs w:val="21"/>
                </w:rPr>
              </m:ctrlPr>
            </m:sup>
            <m:e>
              <m:r>
                <m:rPr>
                  <m:sty m:val="p"/>
                </m:rPr>
                <w:rPr>
                  <w:rFonts w:hint="default" w:ascii="Cambria Math" w:hAnsi="Cambria Math"/>
                  <w:szCs w:val="21"/>
                  <w:lang w:val="en-US" w:eastAsia="zh-CN"/>
                </w:rPr>
                <m:t>(</m:t>
              </m:r>
              <m:r>
                <m:rPr>
                  <m:sty m:val="p"/>
                </m:rPr>
                <w:rPr>
                  <w:rFonts w:hint="eastAsia" w:ascii="Cambria Math" w:hAnsi="Cambria Math"/>
                  <w:szCs w:val="21"/>
                  <w:lang w:val="en-US" w:eastAsia="zh-CN"/>
                </w:rPr>
                <m:t>二噁英毒性同类物浓度</m:t>
              </m:r>
              <m:r>
                <m:rPr>
                  <m:sty m:val="p"/>
                </m:rPr>
                <w:rPr>
                  <w:rFonts w:ascii="Cambria Math" w:hAnsi="Cambria Math"/>
                  <w:szCs w:val="21"/>
                  <w:lang w:val="en-US"/>
                </w:rPr>
                <m:t>×</m:t>
              </m:r>
              <m:r>
                <m:rPr>
                  <m:sty m:val="p"/>
                </m:rPr>
                <w:rPr>
                  <w:rFonts w:hint="default" w:ascii="Cambria Math" w:hAnsi="Cambria Math"/>
                  <w:szCs w:val="21"/>
                  <w:lang w:val="en-US" w:eastAsia="zh-CN"/>
                </w:rPr>
                <m:t>TEF)</m:t>
              </m:r>
              <m:ctrlPr>
                <w:rPr>
                  <w:rFonts w:hint="eastAsia" w:ascii="Cambria Math" w:hAnsi="Cambria Math"/>
                  <w:b w:val="0"/>
                  <w:i w:val="0"/>
                  <w:szCs w:val="21"/>
                </w:rPr>
              </m:ctrlPr>
            </m:e>
          </m:nary>
          <m:r>
            <m:rPr/>
            <w:rPr>
              <w:rFonts w:hint="eastAsia" w:ascii="Cambria Math" w:hAnsi="Cambria Math"/>
              <w:lang w:val="en-US" w:eastAsia="zh-CN"/>
            </w:rPr>
            <m:t>······························</m:t>
          </m:r>
          <m:r>
            <m:rPr>
              <m:sty m:val="p"/>
            </m:rPr>
            <w:rPr>
              <w:rFonts w:hint="eastAsia" w:ascii="Cambria Math" w:hAnsi="Cambria Math"/>
              <w:lang w:val="en-US" w:eastAsia="zh-CN"/>
            </w:rPr>
            <m:t>（</m:t>
          </m:r>
          <m:r>
            <m:rPr>
              <m:sty m:val="p"/>
            </m:rPr>
            <w:rPr>
              <w:rFonts w:hint="eastAsia" w:ascii="Cambria Math" w:hAnsi="Cambria Math" w:cs="宋体"/>
              <w:lang w:val="en-US" w:eastAsia="zh-CN"/>
            </w:rPr>
            <m:t>2</m:t>
          </m:r>
          <m:r>
            <m:rPr>
              <m:sty m:val="p"/>
            </m:rPr>
            <w:rPr>
              <w:rFonts w:hint="eastAsia" w:ascii="Cambria Math" w:hAnsi="Cambria Math"/>
              <w:lang w:val="en-US" w:eastAsia="zh-CN"/>
            </w:rPr>
            <m:t>）</m:t>
          </m:r>
        </m:oMath>
      </m:oMathPara>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式中：</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TEQ—毒性当量；</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TEF—毒性当量因子。</w:t>
      </w:r>
    </w:p>
    <w:p>
      <w:pPr>
        <w:pStyle w:val="28"/>
        <w:ind w:left="420" w:hanging="420" w:hangingChars="200"/>
        <w:outlineLvl w:val="1"/>
        <w:rPr>
          <w:rFonts w:hint="default" w:ascii="Times New Roman" w:hAnsi="Times New Roman" w:eastAsia="黑体" w:cs="Times New Roman"/>
        </w:rPr>
      </w:pPr>
      <w:r>
        <w:rPr>
          <w:rFonts w:ascii="黑体" w:hAnsi="黑体" w:eastAsia="黑体"/>
        </w:rPr>
        <w:br w:type="textWrapping"/>
      </w:r>
      <w:r>
        <w:rPr>
          <w:rFonts w:hint="default" w:ascii="Times New Roman" w:hAnsi="Times New Roman" w:eastAsia="黑体" w:cs="Times New Roman"/>
        </w:rPr>
        <w:t>标准状态standard conditions</w:t>
      </w:r>
    </w:p>
    <w:p>
      <w:pPr>
        <w:pStyle w:val="10"/>
        <w:jc w:val="left"/>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温度在273.15K，压力在101.325kPa时的气体状态。</w:t>
      </w:r>
      <w:r>
        <w:rPr>
          <w:rFonts w:hint="eastAsia" w:ascii="Times New Roman" w:hAnsi="Times New Roman" w:cs="Times New Roman"/>
          <w:szCs w:val="20"/>
          <w:lang w:val="en-US" w:eastAsia="zh-CN"/>
        </w:rPr>
        <w:t>本标准</w:t>
      </w:r>
      <w:r>
        <w:rPr>
          <w:rFonts w:hint="default" w:ascii="Times New Roman" w:hAnsi="Times New Roman" w:cs="Times New Roman"/>
          <w:szCs w:val="20"/>
          <w:lang w:val="en-US" w:eastAsia="zh-CN"/>
        </w:rPr>
        <w:t>规定的大气污染物排放浓度限值均以标准状态下的干气体为基准。</w:t>
      </w:r>
    </w:p>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测定均值average value</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在一定时间内采集的一定数量样品中污染物浓度测试值的算术平均值。二噁英类的监测应在6~12小时内完成不少于3个样品的采集；重金属类污染物的监测应在0.5~8小时内完成不少于3个样品的采集。</w:t>
      </w:r>
    </w:p>
    <w:p>
      <w:pPr>
        <w:pStyle w:val="28"/>
        <w:ind w:left="420" w:hanging="420" w:hangingChars="200"/>
        <w:rPr>
          <w:rFonts w:ascii="黑体" w:hAnsi="黑体" w:eastAsia="黑体"/>
        </w:rPr>
      </w:pPr>
      <w:r>
        <w:rPr>
          <w:rFonts w:ascii="黑体" w:hAnsi="黑体" w:eastAsia="黑体"/>
        </w:rPr>
        <w:br w:type="textWrapping"/>
      </w:r>
      <w:r>
        <w:rPr>
          <w:rFonts w:ascii="黑体" w:hAnsi="黑体" w:eastAsia="黑体"/>
        </w:rPr>
        <w:t>1小时均值1-hour average value</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任何1小时污染物浓度的算术平均值；或在1小时内，以等时间间隔采集3~4个样品测试值的算术平均值。</w:t>
      </w:r>
    </w:p>
    <w:p>
      <w:pPr>
        <w:pStyle w:val="28"/>
        <w:ind w:left="420" w:hanging="420" w:hangingChars="200"/>
        <w:rPr>
          <w:rFonts w:ascii="黑体" w:hAnsi="黑体" w:eastAsia="黑体"/>
        </w:rPr>
      </w:pPr>
      <w:r>
        <w:rPr>
          <w:rFonts w:ascii="黑体" w:hAnsi="黑体" w:eastAsia="黑体"/>
        </w:rPr>
        <w:br w:type="textWrapping"/>
      </w:r>
      <w:r>
        <w:rPr>
          <w:rFonts w:ascii="黑体" w:hAnsi="黑体" w:eastAsia="黑体"/>
        </w:rPr>
        <w:t>24小时均值24-hour average value</w:t>
      </w:r>
    </w:p>
    <w:p>
      <w:pPr>
        <w:pStyle w:val="10"/>
        <w:rPr>
          <w:rFonts w:hint="default" w:ascii="Times New Roman" w:hAnsi="Times New Roman" w:cs="Times New Roman"/>
          <w:szCs w:val="20"/>
          <w:lang w:val="en-US" w:eastAsia="zh-CN"/>
        </w:rPr>
      </w:pPr>
      <w:r>
        <w:rPr>
          <w:rFonts w:hint="default" w:ascii="Times New Roman" w:hAnsi="Times New Roman" w:cs="Times New Roman"/>
          <w:szCs w:val="20"/>
          <w:lang w:val="en-US" w:eastAsia="zh-CN"/>
        </w:rPr>
        <w:t>连续24小时内的1小时均值的算术平均值，有效小时均值数不应小于20个。</w:t>
      </w:r>
    </w:p>
    <w:p>
      <w:pPr>
        <w:pStyle w:val="28"/>
        <w:ind w:left="420" w:hanging="420" w:hangingChars="200"/>
        <w:outlineLvl w:val="1"/>
        <w:rPr>
          <w:rFonts w:ascii="黑体" w:hAnsi="黑体" w:eastAsia="黑体"/>
        </w:rPr>
      </w:pPr>
      <w:r>
        <w:rPr>
          <w:rFonts w:ascii="黑体" w:hAnsi="黑体" w:eastAsia="黑体"/>
        </w:rPr>
        <w:br w:type="textWrapping"/>
      </w:r>
      <w:r>
        <w:rPr>
          <w:rFonts w:ascii="黑体" w:hAnsi="黑体" w:eastAsia="黑体"/>
        </w:rPr>
        <w:t>日均值daily average value</w:t>
      </w:r>
    </w:p>
    <w:p>
      <w:pPr>
        <w:pStyle w:val="10"/>
        <w:rPr>
          <w:rFonts w:hint="default" w:ascii="Times New Roman" w:hAnsi="Times New Roman" w:cs="Times New Roman"/>
          <w:szCs w:val="20"/>
          <w:lang w:val="en-US" w:eastAsia="zh-CN"/>
        </w:rPr>
      </w:pPr>
      <w:r>
        <w:rPr>
          <w:rFonts w:hint="default" w:ascii="Times New Roman" w:hAnsi="Times New Roman" w:cs="Times New Roman"/>
          <w:szCs w:val="20"/>
          <w:highlight w:val="none"/>
          <w:lang w:val="en-US" w:eastAsia="zh-CN"/>
        </w:rPr>
        <w:t>利用烟气排放连续监测系统（CEMS）测量的1小时均值，按照《污染物在线监控（监测）系统数据传输标准》规定方</w:t>
      </w:r>
      <w:r>
        <w:rPr>
          <w:rFonts w:hint="default" w:ascii="Times New Roman" w:hAnsi="Times New Roman" w:cs="Times New Roman"/>
          <w:szCs w:val="20"/>
          <w:lang w:val="en-US" w:eastAsia="zh-CN"/>
        </w:rPr>
        <w:t>法换算得到的污染物日均质量浓度。根据公式（</w:t>
      </w:r>
      <w:r>
        <w:rPr>
          <w:rFonts w:hint="eastAsia" w:ascii="Times New Roman" w:hAnsi="Times New Roman" w:cs="Times New Roman"/>
          <w:szCs w:val="20"/>
          <w:lang w:val="en-US" w:eastAsia="zh-CN"/>
        </w:rPr>
        <w:t>3</w:t>
      </w:r>
      <w:r>
        <w:rPr>
          <w:rFonts w:hint="default" w:ascii="Times New Roman" w:hAnsi="Times New Roman" w:cs="Times New Roman"/>
          <w:szCs w:val="20"/>
          <w:lang w:val="en-US" w:eastAsia="zh-CN"/>
        </w:rPr>
        <w:t xml:space="preserve">）计算： </w:t>
      </w:r>
    </w:p>
    <w:p>
      <w:pPr>
        <w:pStyle w:val="16"/>
        <w:ind w:firstLine="420"/>
      </w:pPr>
      <m:oMathPara>
        <m:oMathParaPr>
          <m:jc m:val="right"/>
        </m:oMathParaPr>
        <m:oMath>
          <m:bar>
            <m:barPr>
              <m:pos m:val="top"/>
              <m:ctrlPr>
                <w:rPr>
                  <w:rFonts w:ascii="Cambria Math" w:hAnsi="Cambria Math"/>
                  <w:bCs/>
                  <w:szCs w:val="21"/>
                </w:rPr>
              </m:ctrlPr>
            </m:barPr>
            <m:e>
              <m:sSub>
                <m:sSubPr>
                  <m:ctrlPr>
                    <w:rPr>
                      <w:rFonts w:ascii="Cambria Math" w:hAnsi="Cambria Math"/>
                      <w:bCs/>
                      <w:szCs w:val="21"/>
                    </w:rPr>
                  </m:ctrlPr>
                </m:sSubPr>
                <m:e>
                  <m:r>
                    <m:rPr/>
                    <w:rPr>
                      <w:rFonts w:ascii="Cambria Math" w:hAnsi="Cambria Math"/>
                      <w:szCs w:val="21"/>
                    </w:rPr>
                    <m:t>C</m:t>
                  </m:r>
                  <m:ctrlPr>
                    <w:rPr>
                      <w:rFonts w:ascii="Cambria Math" w:hAnsi="Cambria Math"/>
                      <w:bCs/>
                      <w:szCs w:val="21"/>
                    </w:rPr>
                  </m:ctrlPr>
                </m:e>
                <m:sub>
                  <m:r>
                    <m:rPr>
                      <m:sty m:val="p"/>
                    </m:rPr>
                    <w:rPr>
                      <w:rFonts w:ascii="Cambria Math" w:hAnsi="Cambria Math"/>
                      <w:szCs w:val="21"/>
                    </w:rPr>
                    <m:t>Qd</m:t>
                  </m:r>
                  <m:ctrlPr>
                    <w:rPr>
                      <w:rFonts w:ascii="Cambria Math" w:hAnsi="Cambria Math"/>
                      <w:bCs/>
                      <w:szCs w:val="21"/>
                    </w:rPr>
                  </m:ctrlPr>
                </m:sub>
              </m:sSub>
              <m:ctrlPr>
                <w:rPr>
                  <w:rFonts w:ascii="Cambria Math" w:hAnsi="Cambria Math"/>
                  <w:bCs/>
                  <w:szCs w:val="21"/>
                </w:rPr>
              </m:ctrlPr>
            </m:e>
          </m:bar>
          <m:r>
            <m:rPr>
              <m:sty m:val="p"/>
            </m:rPr>
            <w:rPr>
              <w:rFonts w:ascii="Cambria Math" w:hAnsi="Cambria Math"/>
              <w:szCs w:val="21"/>
            </w:rPr>
            <m:t>=</m:t>
          </m:r>
          <m:f>
            <m:fPr>
              <m:ctrlPr>
                <w:rPr>
                  <w:rFonts w:ascii="Cambria Math" w:hAnsi="Cambria Math"/>
                  <w:bCs/>
                  <w:szCs w:val="21"/>
                </w:rPr>
              </m:ctrlPr>
            </m:fPr>
            <m:num>
              <m:nary>
                <m:naryPr>
                  <m:chr m:val="∑"/>
                  <m:limLoc m:val="undOvr"/>
                  <m:ctrlPr>
                    <w:rPr>
                      <w:rFonts w:ascii="Cambria Math" w:hAnsi="Cambria Math"/>
                      <w:bCs/>
                      <w:szCs w:val="21"/>
                    </w:rPr>
                  </m:ctrlPr>
                </m:naryPr>
                <m:sub>
                  <m:r>
                    <m:rPr>
                      <m:sty m:val="p"/>
                    </m:rPr>
                    <w:rPr>
                      <w:rFonts w:ascii="Cambria Math" w:hAnsi="Cambria Math"/>
                      <w:szCs w:val="21"/>
                    </w:rPr>
                    <m:t>h=1</m:t>
                  </m:r>
                  <m:ctrlPr>
                    <w:rPr>
                      <w:rFonts w:ascii="Cambria Math" w:hAnsi="Cambria Math"/>
                      <w:bCs/>
                      <w:szCs w:val="21"/>
                    </w:rPr>
                  </m:ctrlPr>
                </m:sub>
                <m:sup>
                  <m:r>
                    <m:rPr>
                      <m:sty m:val="p"/>
                    </m:rPr>
                    <w:rPr>
                      <w:rFonts w:ascii="Cambria Math" w:hAnsi="Cambria Math"/>
                      <w:szCs w:val="21"/>
                    </w:rPr>
                    <m:t>m</m:t>
                  </m:r>
                  <m:ctrlPr>
                    <w:rPr>
                      <w:rFonts w:ascii="Cambria Math" w:hAnsi="Cambria Math"/>
                      <w:bCs/>
                      <w:szCs w:val="21"/>
                    </w:rPr>
                  </m:ctrlPr>
                </m:sup>
                <m:e>
                  <m:bar>
                    <m:barPr>
                      <m:pos m:val="top"/>
                      <m:ctrlPr>
                        <w:rPr>
                          <w:rFonts w:ascii="Cambria Math" w:hAnsi="Cambria Math"/>
                          <w:bCs/>
                          <w:szCs w:val="21"/>
                        </w:rPr>
                      </m:ctrlPr>
                    </m:barPr>
                    <m:e>
                      <m:sSub>
                        <m:sSubPr>
                          <m:ctrlPr>
                            <w:rPr>
                              <w:rFonts w:ascii="Cambria Math" w:hAnsi="Cambria Math"/>
                              <w:bCs/>
                              <w:szCs w:val="21"/>
                            </w:rPr>
                          </m:ctrlPr>
                        </m:sSubPr>
                        <m:e>
                          <m:r>
                            <m:rPr/>
                            <w:rPr>
                              <w:rFonts w:ascii="Cambria Math" w:hAnsi="Cambria Math"/>
                              <w:szCs w:val="21"/>
                            </w:rPr>
                            <m:t>C</m:t>
                          </m:r>
                          <m:ctrlPr>
                            <w:rPr>
                              <w:rFonts w:ascii="Cambria Math" w:hAnsi="Cambria Math"/>
                              <w:bCs/>
                              <w:szCs w:val="21"/>
                            </w:rPr>
                          </m:ctrlPr>
                        </m:e>
                        <m:sub>
                          <m:r>
                            <m:rPr>
                              <m:sty m:val="p"/>
                            </m:rPr>
                            <w:rPr>
                              <w:rFonts w:ascii="Cambria Math" w:hAnsi="Cambria Math"/>
                              <w:szCs w:val="21"/>
                            </w:rPr>
                            <m:t>Qh</m:t>
                          </m:r>
                          <m:ctrlPr>
                            <w:rPr>
                              <w:rFonts w:ascii="Cambria Math" w:hAnsi="Cambria Math"/>
                              <w:bCs/>
                              <w:szCs w:val="21"/>
                            </w:rPr>
                          </m:ctrlPr>
                        </m:sub>
                      </m:sSub>
                      <m:ctrlPr>
                        <w:rPr>
                          <w:rFonts w:ascii="Cambria Math" w:hAnsi="Cambria Math"/>
                          <w:bCs/>
                          <w:szCs w:val="21"/>
                        </w:rPr>
                      </m:ctrlPr>
                    </m:e>
                  </m:bar>
                  <m:ctrlPr>
                    <w:rPr>
                      <w:rFonts w:ascii="Cambria Math" w:hAnsi="Cambria Math"/>
                      <w:bCs/>
                      <w:szCs w:val="21"/>
                    </w:rPr>
                  </m:ctrlPr>
                </m:e>
              </m:nary>
              <m:ctrlPr>
                <w:rPr>
                  <w:rFonts w:ascii="Cambria Math" w:hAnsi="Cambria Math"/>
                  <w:bCs/>
                  <w:szCs w:val="21"/>
                </w:rPr>
              </m:ctrlPr>
            </m:num>
            <m:den>
              <m:r>
                <m:rPr>
                  <m:sty m:val="p"/>
                </m:rPr>
                <w:rPr>
                  <w:rFonts w:ascii="Cambria Math" w:hAnsi="Cambria Math"/>
                  <w:szCs w:val="21"/>
                </w:rPr>
                <m:t>m</m:t>
              </m:r>
              <m:ctrlPr>
                <w:rPr>
                  <w:rFonts w:ascii="Cambria Math" w:hAnsi="Cambria Math"/>
                  <w:bCs/>
                  <w:szCs w:val="21"/>
                </w:rPr>
              </m:ctrlPr>
            </m:den>
          </m:f>
          <m:r>
            <m:rPr/>
            <w:rPr>
              <w:rFonts w:hint="eastAsia" w:ascii="Cambria Math" w:hAnsi="Cambria Math"/>
              <w:lang w:val="en-US" w:eastAsia="zh-CN"/>
            </w:rPr>
            <m:t>·····························································</m:t>
          </m:r>
          <m:r>
            <m:rPr>
              <m:sty m:val="p"/>
            </m:rPr>
            <w:rPr>
              <w:rFonts w:hint="eastAsia" w:ascii="Cambria Math" w:hAnsi="Cambria Math"/>
              <w:lang w:val="en-US" w:eastAsia="zh-CN"/>
            </w:rPr>
            <m:t>（</m:t>
          </m:r>
          <m:r>
            <m:rPr>
              <m:sty m:val="p"/>
            </m:rPr>
            <w:rPr>
              <w:rFonts w:hint="eastAsia" w:ascii="Cambria Math" w:hAnsi="Cambria Math" w:cs="宋体"/>
              <w:lang w:val="en-US" w:eastAsia="zh-CN"/>
            </w:rPr>
            <m:t>3</m:t>
          </m:r>
          <m:r>
            <m:rPr>
              <m:sty m:val="p"/>
            </m:rPr>
            <w:rPr>
              <w:rFonts w:hint="eastAsia" w:ascii="Cambria Math" w:hAnsi="Cambria Math"/>
              <w:lang w:val="en-US" w:eastAsia="zh-CN"/>
            </w:rPr>
            <m:t>）</m:t>
          </m:r>
        </m:oMath>
      </m:oMathPara>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eastAsia="宋体" w:cs="Times New Roman"/>
          <w:snapToGrid/>
          <w:color w:val="auto"/>
          <w:kern w:val="0"/>
          <w:sz w:val="21"/>
          <w:szCs w:val="20"/>
          <w:highlight w:val="none"/>
          <w:lang w:val="en-US" w:eastAsia="zh-CN" w:bidi="ar-SA"/>
        </w:rPr>
      </w:pPr>
      <w:r>
        <w:rPr>
          <w:rFonts w:hint="default" w:ascii="Times New Roman" w:hAnsi="Times New Roman" w:eastAsia="宋体" w:cs="Times New Roman"/>
          <w:snapToGrid/>
          <w:color w:val="auto"/>
          <w:kern w:val="0"/>
          <w:sz w:val="21"/>
          <w:szCs w:val="20"/>
          <w:highlight w:val="none"/>
          <w:lang w:val="en-US" w:eastAsia="zh-CN" w:bidi="ar-SA"/>
        </w:rPr>
        <w:t xml:space="preserve">式中：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rPr>
      </w:pPr>
      <m:oMath>
        <m:bar>
          <m:barPr>
            <m:pos m:val="top"/>
            <m:ctrlPr>
              <w:rPr>
                <w:rFonts w:hint="default" w:ascii="Cambria Math" w:hAnsi="Cambria Math" w:cs="Times New Roman"/>
                <w:i/>
                <w:sz w:val="21"/>
              </w:rPr>
            </m:ctrlPr>
          </m:barPr>
          <m:e>
            <m:sSub>
              <m:sSubPr>
                <m:ctrlPr>
                  <w:rPr>
                    <w:rFonts w:hint="default" w:ascii="Cambria Math" w:hAnsi="Cambria Math" w:cs="Times New Roman"/>
                    <w:i/>
                    <w:sz w:val="21"/>
                  </w:rPr>
                </m:ctrlPr>
              </m:sSubPr>
              <m:e>
                <m:r>
                  <m:rPr/>
                  <w:rPr>
                    <w:rFonts w:hint="default" w:ascii="Cambria Math" w:hAnsi="Cambria Math" w:eastAsia="宋体" w:cs="Times New Roman"/>
                    <w:sz w:val="21"/>
                    <w:lang w:val="en-US" w:eastAsia="zh-CN"/>
                  </w:rPr>
                  <m:t>C</m:t>
                </m:r>
                <m:ctrlPr>
                  <w:rPr>
                    <w:rFonts w:hint="default" w:ascii="Cambria Math" w:hAnsi="Cambria Math" w:cs="Times New Roman"/>
                    <w:i/>
                    <w:sz w:val="21"/>
                  </w:rPr>
                </m:ctrlPr>
              </m:e>
              <m:sub>
                <m:r>
                  <m:rPr/>
                  <w:rPr>
                    <w:rFonts w:hint="default" w:ascii="Cambria Math" w:hAnsi="Cambria Math" w:eastAsia="宋体" w:cs="Times New Roman"/>
                    <w:sz w:val="21"/>
                    <w:lang w:val="en-US" w:eastAsia="zh-CN"/>
                  </w:rPr>
                  <m:t>Qd</m:t>
                </m:r>
                <m:ctrlPr>
                  <w:rPr>
                    <w:rFonts w:hint="default" w:ascii="Cambria Math" w:hAnsi="Cambria Math" w:cs="Times New Roman"/>
                    <w:i/>
                    <w:sz w:val="21"/>
                  </w:rPr>
                </m:ctrlPr>
              </m:sub>
            </m:sSub>
            <m:ctrlPr>
              <w:rPr>
                <w:rFonts w:hint="default" w:ascii="Cambria Math" w:hAnsi="Cambria Math" w:cs="Times New Roman"/>
                <w:i/>
                <w:sz w:val="21"/>
              </w:rPr>
            </m:ctrlPr>
          </m:e>
        </m:bar>
      </m:oMath>
      <w:r>
        <w:rPr>
          <w:rFonts w:hint="default" w:ascii="Times New Roman" w:hAnsi="Times New Roman" w:eastAsia="宋体" w:cs="Times New Roman"/>
          <w:i w:val="0"/>
          <w:sz w:val="21"/>
          <w:lang w:val="en-US" w:eastAsia="zh-CN"/>
        </w:rPr>
        <w:t xml:space="preserve"> </w:t>
      </w:r>
      <w:r>
        <w:rPr>
          <w:rFonts w:hint="default" w:ascii="Times New Roman" w:hAnsi="Times New Roman" w:eastAsia="宋体" w:cs="Times New Roman"/>
          <w:snapToGrid/>
          <w:color w:val="auto"/>
          <w:kern w:val="0"/>
          <w:sz w:val="21"/>
          <w:szCs w:val="20"/>
          <w:highlight w:val="none"/>
          <w:lang w:val="en-US" w:eastAsia="zh-CN" w:bidi="ar-SA"/>
        </w:rPr>
        <w:t>−</w:t>
      </w:r>
      <w:r>
        <w:rPr>
          <w:rFonts w:hint="eastAsia" w:ascii="Times New Roman" w:hAnsi="Times New Roman" w:eastAsia="宋体" w:cs="Times New Roman"/>
          <w:snapToGrid/>
          <w:color w:val="auto"/>
          <w:kern w:val="0"/>
          <w:sz w:val="21"/>
          <w:szCs w:val="20"/>
          <w:highlight w:val="none"/>
          <w:lang w:val="en-US" w:eastAsia="zh-CN" w:bidi="ar-SA"/>
        </w:rPr>
        <w:t xml:space="preserve"> </w:t>
      </w:r>
      <w:r>
        <w:rPr>
          <w:rFonts w:hint="default" w:ascii="Times New Roman" w:hAnsi="Times New Roman" w:eastAsia="宋体" w:cs="Times New Roman"/>
          <w:snapToGrid/>
          <w:color w:val="auto"/>
          <w:kern w:val="0"/>
          <w:sz w:val="21"/>
          <w:szCs w:val="20"/>
          <w:highlight w:val="none"/>
          <w:lang w:val="en-US" w:eastAsia="zh-CN" w:bidi="ar-SA"/>
        </w:rPr>
        <w:t xml:space="preserve">CEMS第d天测量污染物排放干基标态质量浓度平均值，mg/m³； </w:t>
      </w:r>
    </w:p>
    <w:p>
      <w:pPr>
        <w:pStyle w:val="10"/>
        <w:rPr>
          <w:rFonts w:hint="default" w:ascii="Times New Roman" w:hAnsi="Times New Roman" w:cs="Times New Roman"/>
          <w:szCs w:val="20"/>
          <w:highlight w:val="none"/>
          <w:lang w:val="en-US" w:eastAsia="zh-CN"/>
        </w:rPr>
      </w:pPr>
      <m:oMath>
        <m:bar>
          <m:barPr>
            <m:pos m:val="top"/>
            <m:ctrlPr>
              <w:rPr>
                <w:rFonts w:hint="default" w:ascii="Cambria Math" w:hAnsi="Cambria Math" w:cs="Times New Roman"/>
                <w:i/>
                <w:sz w:val="21"/>
              </w:rPr>
            </m:ctrlPr>
          </m:barPr>
          <m:e>
            <m:sSub>
              <m:sSubPr>
                <m:ctrlPr>
                  <w:rPr>
                    <w:rFonts w:hint="default" w:ascii="Cambria Math" w:hAnsi="Cambria Math" w:cs="Times New Roman"/>
                    <w:i/>
                    <w:sz w:val="21"/>
                  </w:rPr>
                </m:ctrlPr>
              </m:sSubPr>
              <m:e>
                <m:r>
                  <m:rPr/>
                  <w:rPr>
                    <w:rFonts w:hint="default" w:ascii="Cambria Math" w:hAnsi="Cambria Math" w:eastAsia="宋体" w:cs="Times New Roman"/>
                    <w:sz w:val="21"/>
                    <w:lang w:val="en-US" w:eastAsia="zh-CN"/>
                  </w:rPr>
                  <m:t>C</m:t>
                </m:r>
                <m:ctrlPr>
                  <w:rPr>
                    <w:rFonts w:hint="default" w:ascii="Cambria Math" w:hAnsi="Cambria Math" w:cs="Times New Roman"/>
                    <w:i/>
                    <w:sz w:val="21"/>
                  </w:rPr>
                </m:ctrlPr>
              </m:e>
              <m:sub>
                <m:r>
                  <m:rPr/>
                  <w:rPr>
                    <w:rFonts w:hint="default" w:ascii="Cambria Math" w:hAnsi="Cambria Math" w:eastAsia="宋体" w:cs="Times New Roman"/>
                    <w:sz w:val="21"/>
                    <w:lang w:val="en-US" w:eastAsia="zh-CN"/>
                  </w:rPr>
                  <m:t>Qℎ</m:t>
                </m:r>
                <m:ctrlPr>
                  <w:rPr>
                    <w:rFonts w:hint="default" w:ascii="Cambria Math" w:hAnsi="Cambria Math" w:cs="Times New Roman"/>
                    <w:i/>
                    <w:sz w:val="21"/>
                  </w:rPr>
                </m:ctrlPr>
              </m:sub>
            </m:sSub>
            <m:ctrlPr>
              <w:rPr>
                <w:rFonts w:hint="default" w:ascii="Cambria Math" w:hAnsi="Cambria Math" w:cs="Times New Roman"/>
                <w:i/>
                <w:sz w:val="21"/>
              </w:rPr>
            </m:ctrlPr>
          </m:e>
        </m:bar>
      </m:oMath>
      <w:r>
        <w:rPr>
          <w:rFonts w:hint="default" w:ascii="Times New Roman" w:hAnsi="Times New Roman" w:cs="Times New Roman"/>
          <w:i w:val="0"/>
          <w:sz w:val="21"/>
          <w:lang w:val="en-US" w:eastAsia="zh-CN"/>
        </w:rPr>
        <w:t xml:space="preserve"> </w:t>
      </w:r>
      <w:r>
        <w:rPr>
          <w:rFonts w:hint="default" w:ascii="Times New Roman" w:hAnsi="Times New Roman" w:cs="Times New Roman"/>
          <w:szCs w:val="20"/>
          <w:highlight w:val="none"/>
          <w:lang w:val="en-US" w:eastAsia="zh-CN"/>
        </w:rPr>
        <w:t>−</w:t>
      </w:r>
      <w:r>
        <w:rPr>
          <w:rFonts w:hint="eastAsia" w:ascii="Times New Roman" w:hAnsi="Times New Roman" w:cs="Times New Roman"/>
          <w:szCs w:val="20"/>
          <w:highlight w:val="none"/>
          <w:lang w:val="en-US" w:eastAsia="zh-CN"/>
        </w:rPr>
        <w:t xml:space="preserve"> </w:t>
      </w:r>
      <w:r>
        <w:rPr>
          <w:rFonts w:hint="default" w:ascii="Times New Roman" w:hAnsi="Times New Roman" w:cs="Times New Roman"/>
          <w:szCs w:val="20"/>
          <w:highlight w:val="none"/>
          <w:lang w:val="en-US" w:eastAsia="zh-CN"/>
        </w:rPr>
        <w:t xml:space="preserve">CEMS第h次测量的污染物排放干基标态质量浓度1小时均值，mg/m³； </w:t>
      </w:r>
    </w:p>
    <w:p>
      <w:pPr>
        <w:pStyle w:val="10"/>
        <w:rPr>
          <w:rFonts w:hint="eastAsia" w:hAnsi="Times New Roman" w:cs="Times New Roman"/>
          <w:szCs w:val="20"/>
          <w:highlight w:val="none"/>
          <w:lang w:val="en-US" w:eastAsia="zh-CN"/>
        </w:rPr>
      </w:pPr>
      <w:r>
        <w:rPr>
          <w:rFonts w:hint="default" w:ascii="Times New Roman" w:hAnsi="Times New Roman" w:cs="Times New Roman"/>
          <w:szCs w:val="20"/>
          <w:highlight w:val="none"/>
          <w:lang w:val="en-US" w:eastAsia="zh-CN"/>
        </w:rPr>
        <w:t>m −</w:t>
      </w:r>
      <w:r>
        <w:rPr>
          <w:rFonts w:hint="eastAsia" w:ascii="Times New Roman" w:hAnsi="Times New Roman" w:cs="Times New Roman"/>
          <w:szCs w:val="20"/>
          <w:highlight w:val="none"/>
          <w:lang w:val="en-US" w:eastAsia="zh-CN"/>
        </w:rPr>
        <w:t xml:space="preserve"> </w:t>
      </w:r>
      <w:r>
        <w:rPr>
          <w:rFonts w:hint="default" w:ascii="Times New Roman" w:hAnsi="Times New Roman" w:cs="Times New Roman"/>
          <w:szCs w:val="20"/>
          <w:highlight w:val="none"/>
          <w:lang w:val="en-US" w:eastAsia="zh-CN"/>
        </w:rPr>
        <w:t>CEMS在该天内有效测量的小时均值数（m</w:t>
      </w:r>
      <w:r>
        <w:rPr>
          <w:rFonts w:hint="eastAsia" w:asciiTheme="majorEastAsia" w:hAnsiTheme="majorEastAsia" w:eastAsiaTheme="majorEastAsia" w:cstheme="majorEastAsia"/>
          <w:snapToGrid w:val="0"/>
          <w:color w:val="000000"/>
          <w:spacing w:val="-6"/>
          <w:kern w:val="0"/>
          <w:position w:val="1"/>
          <w:sz w:val="21"/>
          <w:szCs w:val="18"/>
          <w:lang w:val="en-US" w:eastAsia="zh-CN" w:bidi="ar-SA"/>
        </w:rPr>
        <w:t>≥</w:t>
      </w:r>
      <w:r>
        <w:rPr>
          <w:rFonts w:hint="default" w:ascii="Times New Roman" w:hAnsi="Times New Roman" w:cs="Times New Roman"/>
          <w:szCs w:val="20"/>
          <w:highlight w:val="none"/>
          <w:lang w:val="en-US" w:eastAsia="zh-CN"/>
        </w:rPr>
        <w:t>20）。</w:t>
      </w:r>
      <w:r>
        <w:rPr>
          <w:rFonts w:hint="eastAsia" w:hAnsi="Times New Roman" w:cs="Times New Roman"/>
          <w:szCs w:val="20"/>
          <w:highlight w:val="none"/>
          <w:lang w:val="en-US" w:eastAsia="zh-CN"/>
        </w:rPr>
        <w:t xml:space="preserve"> </w:t>
      </w:r>
    </w:p>
    <w:p>
      <w:pPr>
        <w:pStyle w:val="28"/>
        <w:ind w:left="420" w:hanging="420" w:hangingChars="200"/>
        <w:rPr>
          <w:rFonts w:ascii="黑体" w:hAnsi="黑体" w:eastAsia="黑体"/>
          <w:highlight w:val="none"/>
        </w:rPr>
      </w:pPr>
      <w:r>
        <w:rPr>
          <w:rFonts w:ascii="黑体" w:hAnsi="黑体" w:eastAsia="黑体"/>
          <w:highlight w:val="none"/>
        </w:rPr>
        <w:br w:type="textWrapping"/>
      </w:r>
      <w:r>
        <w:rPr>
          <w:rFonts w:ascii="黑体" w:hAnsi="黑体" w:eastAsia="黑体"/>
          <w:highlight w:val="none"/>
        </w:rPr>
        <w:t>基准氧含量排放浓度emission concentration at baseline oxygen content</w:t>
      </w:r>
    </w:p>
    <w:p>
      <w:pPr>
        <w:pStyle w:val="10"/>
        <w:rPr>
          <w:rFonts w:hint="default" w:ascii="Times New Roman" w:hAnsi="Times New Roman" w:cs="Times New Roman"/>
          <w:szCs w:val="20"/>
          <w:highlight w:val="none"/>
          <w:lang w:val="en-US" w:eastAsia="zh-CN"/>
        </w:rPr>
      </w:pPr>
      <w:r>
        <w:rPr>
          <w:rFonts w:hint="default" w:ascii="Times New Roman" w:hAnsi="Times New Roman" w:cs="Times New Roman"/>
          <w:szCs w:val="20"/>
          <w:highlight w:val="none"/>
          <w:lang w:val="en-US" w:eastAsia="zh-CN"/>
        </w:rPr>
        <w:t>以11%O</w:t>
      </w:r>
      <w:r>
        <w:rPr>
          <w:rFonts w:hint="default" w:ascii="Times New Roman" w:hAnsi="Times New Roman" w:cs="Times New Roman"/>
          <w:szCs w:val="20"/>
          <w:highlight w:val="none"/>
          <w:vertAlign w:val="subscript"/>
          <w:lang w:val="en-US" w:eastAsia="zh-CN"/>
        </w:rPr>
        <w:t>2</w:t>
      </w:r>
      <w:r>
        <w:rPr>
          <w:rFonts w:hint="default" w:ascii="Times New Roman" w:hAnsi="Times New Roman" w:cs="Times New Roman"/>
          <w:szCs w:val="20"/>
          <w:highlight w:val="none"/>
          <w:lang w:val="en-US" w:eastAsia="zh-CN"/>
        </w:rPr>
        <w:t>（干烟气）作为基准，将实测获得的标准状态下的大气污染物浓度换算后获得的大气污染物排放浓度，不适用于纯氧燃烧。根据公式（</w:t>
      </w:r>
      <w:r>
        <w:rPr>
          <w:rFonts w:hint="eastAsia" w:ascii="Times New Roman" w:hAnsi="Times New Roman" w:cs="Times New Roman"/>
          <w:szCs w:val="20"/>
          <w:highlight w:val="none"/>
          <w:lang w:val="en-US" w:eastAsia="zh-CN"/>
        </w:rPr>
        <w:t>4</w:t>
      </w:r>
      <w:r>
        <w:rPr>
          <w:rFonts w:hint="default" w:ascii="Times New Roman" w:hAnsi="Times New Roman" w:cs="Times New Roman"/>
          <w:szCs w:val="20"/>
          <w:highlight w:val="none"/>
          <w:lang w:val="en-US" w:eastAsia="zh-CN"/>
        </w:rPr>
        <w:t>）换算：</w:t>
      </w:r>
    </w:p>
    <w:p>
      <w:pPr>
        <w:pStyle w:val="16"/>
        <w:ind w:firstLine="420"/>
        <w:rPr>
          <w:rFonts w:hAnsi="宋体" w:cs="宋体"/>
          <w:szCs w:val="21"/>
          <w:highlight w:val="none"/>
        </w:rPr>
      </w:pPr>
      <m:oMathPara>
        <m:oMathParaPr>
          <m:jc m:val="right"/>
        </m:oMathParaPr>
        <m:oMath>
          <m:r>
            <m:rPr/>
            <w:rPr>
              <w:rFonts w:hint="default" w:ascii="Cambria Math" w:hAnsi="Cambria Math"/>
              <w:szCs w:val="21"/>
              <w:highlight w:val="none"/>
            </w:rPr>
            <m:t>ρ</m:t>
          </m:r>
          <m:r>
            <m:rPr>
              <m:sty m:val="p"/>
            </m:rPr>
            <w:rPr>
              <w:rFonts w:hint="eastAsia" w:ascii="Cambria Math" w:hAnsi="Cambria Math"/>
              <w:szCs w:val="21"/>
              <w:highlight w:val="none"/>
            </w:rPr>
            <m:t>=</m:t>
          </m:r>
          <m:f>
            <m:fPr>
              <m:ctrlPr>
                <w:rPr>
                  <w:rFonts w:hint="eastAsia" w:ascii="Cambria Math" w:hAnsi="Cambria Math"/>
                  <w:bCs/>
                  <w:szCs w:val="21"/>
                  <w:highlight w:val="none"/>
                </w:rPr>
              </m:ctrlPr>
            </m:fPr>
            <m:num>
              <m:r>
                <m:rPr/>
                <w:rPr>
                  <w:rFonts w:ascii="Cambria Math" w:hAnsi="Cambria Math"/>
                  <w:szCs w:val="21"/>
                  <w:highlight w:val="none"/>
                </w:rPr>
                <m:t>ρ</m:t>
              </m:r>
              <m:r>
                <m:rPr>
                  <m:sty m:val="p"/>
                </m:rPr>
                <w:rPr>
                  <w:rFonts w:hint="eastAsia" w:ascii="Cambria Math" w:hAnsi="Cambria Math"/>
                  <w:szCs w:val="21"/>
                  <w:highlight w:val="none"/>
                </w:rPr>
                <m:t>'(21</m:t>
              </m:r>
              <m:r>
                <m:rPr>
                  <m:sty m:val="p"/>
                </m:rPr>
                <w:rPr>
                  <w:rFonts w:hint="eastAsia" w:ascii="微软雅黑" w:hAnsi="微软雅黑" w:eastAsia="微软雅黑" w:cs="微软雅黑"/>
                  <w:szCs w:val="21"/>
                  <w:highlight w:val="none"/>
                </w:rPr>
                <m:t>−</m:t>
              </m:r>
              <m:r>
                <m:rPr>
                  <m:sty m:val="p"/>
                </m:rPr>
                <w:rPr>
                  <w:rFonts w:hint="eastAsia" w:ascii="Cambria Math" w:hAnsi="Cambria Math"/>
                  <w:szCs w:val="21"/>
                  <w:highlight w:val="none"/>
                </w:rPr>
                <m:t>11)</m:t>
              </m:r>
              <m:ctrlPr>
                <w:rPr>
                  <w:rFonts w:hint="eastAsia" w:ascii="Cambria Math" w:hAnsi="Cambria Math"/>
                  <w:bCs/>
                  <w:szCs w:val="21"/>
                  <w:highlight w:val="none"/>
                </w:rPr>
              </m:ctrlPr>
            </m:num>
            <m:den>
              <m:sSub>
                <m:sSubPr>
                  <m:ctrlPr>
                    <w:rPr>
                      <w:rFonts w:hint="eastAsia" w:ascii="Cambria Math" w:hAnsi="Cambria Math"/>
                      <w:bCs/>
                      <w:szCs w:val="21"/>
                      <w:highlight w:val="none"/>
                    </w:rPr>
                  </m:ctrlPr>
                </m:sSubPr>
                <m:e>
                  <m:r>
                    <m:rPr/>
                    <w:rPr>
                      <w:rFonts w:ascii="Cambria Math" w:hAnsi="Cambria Math"/>
                      <w:szCs w:val="21"/>
                      <w:highlight w:val="none"/>
                    </w:rPr>
                    <m:t>φ</m:t>
                  </m:r>
                  <m:ctrlPr>
                    <w:rPr>
                      <w:rFonts w:hint="eastAsia" w:ascii="Cambria Math" w:hAnsi="Cambria Math"/>
                      <w:bCs/>
                      <w:szCs w:val="21"/>
                      <w:highlight w:val="none"/>
                    </w:rPr>
                  </m:ctrlPr>
                </m:e>
                <m:sub>
                  <m:r>
                    <m:rPr>
                      <m:sty m:val="p"/>
                    </m:rPr>
                    <w:rPr>
                      <w:rFonts w:hint="eastAsia" w:ascii="Cambria Math" w:hAnsi="Cambria Math"/>
                      <w:szCs w:val="21"/>
                      <w:highlight w:val="none"/>
                    </w:rPr>
                    <m:t>0</m:t>
                  </m:r>
                  <m:ctrlPr>
                    <w:rPr>
                      <w:rFonts w:hint="eastAsia" w:ascii="Cambria Math" w:hAnsi="Cambria Math"/>
                      <w:bCs/>
                      <w:szCs w:val="21"/>
                      <w:highlight w:val="none"/>
                    </w:rPr>
                  </m:ctrlPr>
                </m:sub>
              </m:sSub>
              <m:r>
                <m:rPr>
                  <m:sty m:val="p"/>
                </m:rPr>
                <w:rPr>
                  <w:rFonts w:hint="eastAsia" w:ascii="Cambria Math" w:hAnsi="Cambria Math"/>
                  <w:szCs w:val="21"/>
                  <w:highlight w:val="none"/>
                </w:rPr>
                <m:t>(</m:t>
              </m:r>
              <m:sSub>
                <m:sSubPr>
                  <m:ctrlPr>
                    <w:rPr>
                      <w:rFonts w:hint="eastAsia" w:ascii="Cambria Math" w:hAnsi="Cambria Math"/>
                      <w:bCs/>
                      <w:szCs w:val="21"/>
                      <w:highlight w:val="none"/>
                    </w:rPr>
                  </m:ctrlPr>
                </m:sSubPr>
                <m:e>
                  <m:r>
                    <m:rPr>
                      <m:sty m:val="p"/>
                    </m:rPr>
                    <w:rPr>
                      <w:rFonts w:hint="eastAsia" w:ascii="Cambria Math" w:hAnsi="Cambria Math"/>
                      <w:szCs w:val="21"/>
                      <w:highlight w:val="none"/>
                    </w:rPr>
                    <m:t>O</m:t>
                  </m:r>
                  <m:ctrlPr>
                    <w:rPr>
                      <w:rFonts w:hint="eastAsia" w:ascii="Cambria Math" w:hAnsi="Cambria Math"/>
                      <w:bCs/>
                      <w:szCs w:val="21"/>
                      <w:highlight w:val="none"/>
                    </w:rPr>
                  </m:ctrlPr>
                </m:e>
                <m:sub>
                  <m:r>
                    <m:rPr>
                      <m:sty m:val="p"/>
                    </m:rPr>
                    <w:rPr>
                      <w:rFonts w:hint="eastAsia" w:ascii="Cambria Math" w:hAnsi="Cambria Math"/>
                      <w:szCs w:val="21"/>
                      <w:highlight w:val="none"/>
                    </w:rPr>
                    <m:t>2</m:t>
                  </m:r>
                  <m:ctrlPr>
                    <w:rPr>
                      <w:rFonts w:hint="eastAsia" w:ascii="Cambria Math" w:hAnsi="Cambria Math"/>
                      <w:bCs/>
                      <w:szCs w:val="21"/>
                      <w:highlight w:val="none"/>
                    </w:rPr>
                  </m:ctrlPr>
                </m:sub>
              </m:sSub>
              <m:r>
                <m:rPr>
                  <m:sty m:val="p"/>
                </m:rPr>
                <w:rPr>
                  <w:rFonts w:hint="eastAsia" w:ascii="Cambria Math" w:hAnsi="Cambria Math"/>
                  <w:szCs w:val="21"/>
                  <w:highlight w:val="none"/>
                </w:rPr>
                <m:t>)</m:t>
              </m:r>
              <m:r>
                <m:rPr>
                  <m:sty m:val="p"/>
                </m:rPr>
                <w:rPr>
                  <w:rFonts w:hint="eastAsia" w:ascii="微软雅黑" w:hAnsi="微软雅黑" w:eastAsia="微软雅黑" w:cs="微软雅黑"/>
                  <w:szCs w:val="21"/>
                  <w:highlight w:val="none"/>
                </w:rPr>
                <m:t>−</m:t>
              </m:r>
              <m:r>
                <m:rPr/>
                <w:rPr>
                  <w:rFonts w:ascii="Cambria Math" w:hAnsi="Cambria Math" w:cs="宋体"/>
                  <w:szCs w:val="21"/>
                  <w:highlight w:val="none"/>
                </w:rPr>
                <m:t>φ</m:t>
              </m:r>
              <m:r>
                <m:rPr>
                  <m:sty m:val="p"/>
                </m:rPr>
                <w:rPr>
                  <w:rFonts w:hint="eastAsia" w:ascii="Cambria Math" w:hAnsi="Cambria Math"/>
                  <w:szCs w:val="21"/>
                  <w:highlight w:val="none"/>
                </w:rPr>
                <m:t>'(</m:t>
              </m:r>
              <m:sSub>
                <m:sSubPr>
                  <m:ctrlPr>
                    <w:rPr>
                      <w:rFonts w:hint="eastAsia" w:ascii="Cambria Math" w:hAnsi="Cambria Math"/>
                      <w:bCs/>
                      <w:szCs w:val="21"/>
                      <w:highlight w:val="none"/>
                    </w:rPr>
                  </m:ctrlPr>
                </m:sSubPr>
                <m:e>
                  <m:r>
                    <m:rPr>
                      <m:sty m:val="p"/>
                    </m:rPr>
                    <w:rPr>
                      <w:rFonts w:hint="eastAsia" w:ascii="Cambria Math" w:hAnsi="Cambria Math"/>
                      <w:szCs w:val="21"/>
                      <w:highlight w:val="none"/>
                    </w:rPr>
                    <m:t>O</m:t>
                  </m:r>
                  <m:ctrlPr>
                    <w:rPr>
                      <w:rFonts w:hint="eastAsia" w:ascii="Cambria Math" w:hAnsi="Cambria Math"/>
                      <w:bCs/>
                      <w:szCs w:val="21"/>
                      <w:highlight w:val="none"/>
                    </w:rPr>
                  </m:ctrlPr>
                </m:e>
                <m:sub>
                  <m:r>
                    <m:rPr>
                      <m:sty m:val="p"/>
                    </m:rPr>
                    <w:rPr>
                      <w:rFonts w:hint="eastAsia" w:ascii="Cambria Math" w:hAnsi="Cambria Math"/>
                      <w:szCs w:val="21"/>
                      <w:highlight w:val="none"/>
                    </w:rPr>
                    <m:t>2</m:t>
                  </m:r>
                  <m:ctrlPr>
                    <w:rPr>
                      <w:rFonts w:hint="eastAsia" w:ascii="Cambria Math" w:hAnsi="Cambria Math"/>
                      <w:bCs/>
                      <w:szCs w:val="21"/>
                      <w:highlight w:val="none"/>
                    </w:rPr>
                  </m:ctrlPr>
                </m:sub>
              </m:sSub>
              <m:r>
                <m:rPr>
                  <m:sty m:val="p"/>
                </m:rPr>
                <w:rPr>
                  <w:rFonts w:hint="eastAsia" w:ascii="Cambria Math" w:hAnsi="Cambria Math"/>
                  <w:szCs w:val="21"/>
                  <w:highlight w:val="none"/>
                </w:rPr>
                <m:t>)</m:t>
              </m:r>
              <m:ctrlPr>
                <w:rPr>
                  <w:rFonts w:hint="eastAsia" w:ascii="Cambria Math" w:hAnsi="Cambria Math"/>
                  <w:bCs/>
                  <w:szCs w:val="21"/>
                  <w:highlight w:val="none"/>
                </w:rPr>
              </m:ctrlPr>
            </m:den>
          </m:f>
          <m:r>
            <m:rPr/>
            <w:rPr>
              <w:rFonts w:hint="eastAsia" w:ascii="Cambria Math" w:hAnsi="Cambria Math"/>
              <w:highlight w:val="none"/>
              <w:lang w:val="en-US" w:eastAsia="zh-CN"/>
            </w:rPr>
            <m:t>···················································</m:t>
          </m:r>
          <m:r>
            <m:rPr>
              <m:sty m:val="p"/>
            </m:rPr>
            <w:rPr>
              <w:rFonts w:hint="eastAsia" w:ascii="Cambria Math" w:hAnsi="Cambria Math"/>
              <w:highlight w:val="none"/>
              <w:lang w:val="en-US" w:eastAsia="zh-CN"/>
            </w:rPr>
            <m:t>（</m:t>
          </m:r>
          <m:r>
            <m:rPr>
              <m:sty m:val="p"/>
            </m:rPr>
            <w:rPr>
              <w:rFonts w:hint="eastAsia" w:ascii="Cambria Math" w:hAnsi="Cambria Math" w:cs="宋体"/>
              <w:highlight w:val="none"/>
              <w:lang w:val="en-US" w:eastAsia="zh-CN"/>
            </w:rPr>
            <m:t>4</m:t>
          </m:r>
          <m:r>
            <m:rPr>
              <m:sty m:val="p"/>
            </m:rPr>
            <w:rPr>
              <w:rFonts w:hint="eastAsia" w:ascii="Cambria Math" w:hAnsi="Cambria Math"/>
              <w:highlight w:val="none"/>
              <w:lang w:val="en-US" w:eastAsia="zh-CN"/>
            </w:rPr>
            <m:t>）</m:t>
          </m:r>
        </m:oMath>
      </m:oMathPara>
    </w:p>
    <w:p>
      <w:pPr>
        <w:pStyle w:val="10"/>
        <w:rPr>
          <w:rFonts w:hint="default" w:ascii="Times New Roman" w:hAnsi="Times New Roman" w:cs="Times New Roman"/>
          <w:szCs w:val="20"/>
          <w:highlight w:val="none"/>
          <w:lang w:val="en-US" w:eastAsia="zh-CN"/>
        </w:rPr>
      </w:pPr>
      <w:r>
        <w:rPr>
          <w:rFonts w:hint="default" w:ascii="Times New Roman" w:hAnsi="Times New Roman" w:cs="Times New Roman"/>
          <w:szCs w:val="20"/>
          <w:highlight w:val="none"/>
          <w:lang w:val="en-US" w:eastAsia="zh-CN"/>
        </w:rPr>
        <w:t xml:space="preserve">式中： </w:t>
      </w:r>
    </w:p>
    <w:p>
      <w:pPr>
        <w:pStyle w:val="10"/>
        <w:rPr>
          <w:rFonts w:hint="default" w:ascii="Times New Roman" w:hAnsi="Times New Roman" w:cs="Times New Roman"/>
          <w:szCs w:val="20"/>
          <w:highlight w:val="none"/>
          <w:lang w:val="en-US" w:eastAsia="zh-CN"/>
        </w:rPr>
      </w:pPr>
      <w:r>
        <w:rPr>
          <w:rFonts w:hint="default" w:ascii="Times New Roman" w:hAnsi="Times New Roman" w:cs="Times New Roman"/>
          <w:szCs w:val="20"/>
          <w:highlight w:val="none"/>
          <w:lang w:val="en-US" w:eastAsia="zh-CN"/>
        </w:rPr>
        <w:t>ρ—大气污染物基准氧含量排放浓度，mg/m</w:t>
      </w:r>
      <w:r>
        <w:rPr>
          <w:rFonts w:hint="default" w:ascii="Times New Roman" w:hAnsi="Times New Roman" w:cs="Times New Roman"/>
          <w:szCs w:val="20"/>
          <w:highlight w:val="none"/>
          <w:vertAlign w:val="superscript"/>
          <w:lang w:val="en-US" w:eastAsia="zh-CN"/>
        </w:rPr>
        <w:t>3</w:t>
      </w:r>
      <w:r>
        <w:rPr>
          <w:rFonts w:hint="default" w:ascii="Times New Roman" w:hAnsi="Times New Roman" w:cs="Times New Roman"/>
          <w:szCs w:val="20"/>
          <w:highlight w:val="none"/>
          <w:lang w:val="en-US" w:eastAsia="zh-CN"/>
        </w:rPr>
        <w:t xml:space="preserve"> ； </w:t>
      </w:r>
    </w:p>
    <w:p>
      <w:pPr>
        <w:pStyle w:val="10"/>
        <w:rPr>
          <w:rFonts w:hint="default" w:ascii="Times New Roman" w:hAnsi="Times New Roman" w:cs="Times New Roman"/>
          <w:szCs w:val="20"/>
          <w:highlight w:val="none"/>
          <w:lang w:val="en-US" w:eastAsia="zh-CN"/>
        </w:rPr>
      </w:pPr>
      <w:r>
        <w:rPr>
          <w:rFonts w:hint="default" w:ascii="Times New Roman" w:hAnsi="Times New Roman" w:cs="Times New Roman"/>
          <w:szCs w:val="20"/>
          <w:highlight w:val="none"/>
          <w:lang w:val="en-US" w:eastAsia="zh-CN"/>
        </w:rPr>
        <w:t>ρ′—实测的标准状态下的大气污染物排放浓度，mg/m</w:t>
      </w:r>
      <w:r>
        <w:rPr>
          <w:rFonts w:hint="default" w:ascii="Times New Roman" w:hAnsi="Times New Roman" w:cs="Times New Roman"/>
          <w:szCs w:val="20"/>
          <w:highlight w:val="none"/>
          <w:vertAlign w:val="superscript"/>
          <w:lang w:val="en-US" w:eastAsia="zh-CN"/>
        </w:rPr>
        <w:t>3</w:t>
      </w:r>
      <w:r>
        <w:rPr>
          <w:rFonts w:hint="default" w:ascii="Times New Roman" w:hAnsi="Times New Roman" w:cs="Times New Roman"/>
          <w:szCs w:val="20"/>
          <w:highlight w:val="none"/>
          <w:lang w:val="en-US" w:eastAsia="zh-CN"/>
        </w:rPr>
        <w:t xml:space="preserve"> ；</w:t>
      </w:r>
    </w:p>
    <w:p>
      <w:pPr>
        <w:pStyle w:val="10"/>
        <w:rPr>
          <w:rFonts w:hint="default" w:ascii="Times New Roman" w:hAnsi="Times New Roman" w:cs="Times New Roman"/>
          <w:szCs w:val="20"/>
          <w:highlight w:val="none"/>
          <w:lang w:val="en-US" w:eastAsia="zh-CN"/>
        </w:rPr>
      </w:pPr>
      <m:oMath>
        <m:sSub>
          <m:sSubPr>
            <m:ctrlPr>
              <w:rPr>
                <w:rFonts w:hint="default" w:ascii="Cambria Math" w:hAnsi="Cambria Math" w:cs="Times New Roman"/>
                <w:szCs w:val="20"/>
                <w:highlight w:val="none"/>
                <w:lang w:val="en-US" w:eastAsia="zh-CN"/>
              </w:rPr>
            </m:ctrlPr>
          </m:sSubPr>
          <m:e>
            <m:r>
              <m:rPr>
                <m:sty m:val="p"/>
              </m:rPr>
              <w:rPr>
                <w:rFonts w:hint="default" w:ascii="Cambria Math" w:hAnsi="Cambria Math" w:cs="Times New Roman"/>
                <w:szCs w:val="20"/>
                <w:highlight w:val="none"/>
                <w:lang w:val="en-US" w:eastAsia="zh-CN"/>
              </w:rPr>
              <m:t>φ</m:t>
            </m:r>
            <m:ctrlPr>
              <w:rPr>
                <w:rFonts w:hint="default" w:ascii="Cambria Math" w:hAnsi="Cambria Math" w:cs="Times New Roman"/>
                <w:szCs w:val="20"/>
                <w:highlight w:val="none"/>
                <w:lang w:val="en-US" w:eastAsia="zh-CN"/>
              </w:rPr>
            </m:ctrlPr>
          </m:e>
          <m:sub>
            <m:r>
              <m:rPr>
                <m:sty m:val="p"/>
              </m:rPr>
              <w:rPr>
                <w:rFonts w:hint="default" w:ascii="Cambria Math" w:hAnsi="Cambria Math" w:cs="Times New Roman"/>
                <w:szCs w:val="20"/>
                <w:highlight w:val="none"/>
                <w:lang w:val="en-US" w:eastAsia="zh-CN"/>
              </w:rPr>
              <m:t>0</m:t>
            </m:r>
            <m:ctrlPr>
              <w:rPr>
                <w:rFonts w:hint="default" w:ascii="Cambria Math" w:hAnsi="Cambria Math" w:cs="Times New Roman"/>
                <w:szCs w:val="20"/>
                <w:highlight w:val="none"/>
                <w:lang w:val="en-US" w:eastAsia="zh-CN"/>
              </w:rPr>
            </m:ctrlPr>
          </m:sub>
        </m:sSub>
        <m:r>
          <m:rPr>
            <m:sty m:val="p"/>
          </m:rPr>
          <w:rPr>
            <w:rFonts w:hint="default" w:ascii="Cambria Math" w:hAnsi="Cambria Math" w:cs="Times New Roman"/>
            <w:szCs w:val="20"/>
            <w:highlight w:val="none"/>
            <w:lang w:val="en-US" w:eastAsia="zh-CN"/>
          </w:rPr>
          <m:t>(</m:t>
        </m:r>
        <m:sSub>
          <m:sSubPr>
            <m:ctrlPr>
              <w:rPr>
                <w:rFonts w:hint="default" w:ascii="Cambria Math" w:hAnsi="Cambria Math" w:cs="Times New Roman"/>
                <w:szCs w:val="20"/>
                <w:highlight w:val="none"/>
                <w:lang w:val="en-US" w:eastAsia="zh-CN"/>
              </w:rPr>
            </m:ctrlPr>
          </m:sSubPr>
          <m:e>
            <m:r>
              <m:rPr>
                <m:sty m:val="p"/>
              </m:rPr>
              <w:rPr>
                <w:rFonts w:hint="default" w:ascii="Cambria Math" w:hAnsi="Cambria Math" w:cs="Times New Roman"/>
                <w:szCs w:val="20"/>
                <w:highlight w:val="none"/>
                <w:lang w:val="en-US" w:eastAsia="zh-CN"/>
              </w:rPr>
              <m:t>O</m:t>
            </m:r>
            <m:ctrlPr>
              <w:rPr>
                <w:rFonts w:hint="default" w:ascii="Cambria Math" w:hAnsi="Cambria Math" w:cs="Times New Roman"/>
                <w:szCs w:val="20"/>
                <w:highlight w:val="none"/>
                <w:lang w:val="en-US" w:eastAsia="zh-CN"/>
              </w:rPr>
            </m:ctrlPr>
          </m:e>
          <m:sub>
            <m:r>
              <m:rPr>
                <m:sty m:val="p"/>
              </m:rPr>
              <w:rPr>
                <w:rFonts w:hint="default" w:ascii="Cambria Math" w:hAnsi="Cambria Math" w:cs="Times New Roman"/>
                <w:szCs w:val="20"/>
                <w:highlight w:val="none"/>
                <w:lang w:val="en-US" w:eastAsia="zh-CN"/>
              </w:rPr>
              <m:t>2</m:t>
            </m:r>
            <m:ctrlPr>
              <w:rPr>
                <w:rFonts w:hint="default" w:ascii="Cambria Math" w:hAnsi="Cambria Math" w:cs="Times New Roman"/>
                <w:szCs w:val="20"/>
                <w:highlight w:val="none"/>
                <w:lang w:val="en-US" w:eastAsia="zh-CN"/>
              </w:rPr>
            </m:ctrlPr>
          </m:sub>
        </m:sSub>
        <m:r>
          <m:rPr>
            <m:sty m:val="p"/>
          </m:rPr>
          <w:rPr>
            <w:rFonts w:hint="default" w:ascii="Cambria Math" w:hAnsi="Cambria Math" w:cs="Times New Roman"/>
            <w:szCs w:val="20"/>
            <w:highlight w:val="none"/>
            <w:lang w:val="en-US" w:eastAsia="zh-CN"/>
          </w:rPr>
          <m:t>)</m:t>
        </m:r>
      </m:oMath>
      <w:r>
        <w:rPr>
          <w:rFonts w:hint="default" w:ascii="Times New Roman" w:hAnsi="Times New Roman" w:cs="Times New Roman"/>
          <w:szCs w:val="20"/>
          <w:highlight w:val="none"/>
          <w:lang w:val="en-US" w:eastAsia="zh-CN"/>
        </w:rPr>
        <w:t>—助燃空气初始氧含量（%）；采用空气助燃时为 21；</w:t>
      </w:r>
    </w:p>
    <w:p>
      <w:pPr>
        <w:pStyle w:val="10"/>
        <w:rPr>
          <w:rFonts w:hint="default" w:ascii="Times New Roman" w:hAnsi="Times New Roman" w:cs="Times New Roman"/>
          <w:szCs w:val="20"/>
          <w:highlight w:val="none"/>
          <w:lang w:val="en-US" w:eastAsia="zh-CN"/>
        </w:rPr>
      </w:pPr>
      <m:oMath>
        <m:sSup>
          <m:sSupPr>
            <m:ctrlPr>
              <w:rPr>
                <w:rFonts w:hint="default" w:ascii="Cambria Math" w:hAnsi="Cambria Math" w:cs="Times New Roman"/>
                <w:szCs w:val="20"/>
                <w:highlight w:val="none"/>
                <w:lang w:val="en-US" w:eastAsia="zh-CN"/>
              </w:rPr>
            </m:ctrlPr>
          </m:sSupPr>
          <m:e>
            <m:r>
              <m:rPr>
                <m:sty m:val="p"/>
              </m:rPr>
              <w:rPr>
                <w:rFonts w:hint="default" w:ascii="Cambria Math" w:hAnsi="Cambria Math" w:cs="Times New Roman"/>
                <w:szCs w:val="20"/>
                <w:highlight w:val="none"/>
                <w:lang w:val="en-US" w:eastAsia="zh-CN"/>
              </w:rPr>
              <m:t>φ</m:t>
            </m:r>
            <m:ctrlPr>
              <w:rPr>
                <w:rFonts w:hint="default" w:ascii="Cambria Math" w:hAnsi="Cambria Math" w:cs="Times New Roman"/>
                <w:szCs w:val="20"/>
                <w:highlight w:val="none"/>
                <w:lang w:val="en-US" w:eastAsia="zh-CN"/>
              </w:rPr>
            </m:ctrlPr>
          </m:e>
          <m:sup>
            <m:r>
              <m:rPr>
                <m:sty m:val="p"/>
              </m:rPr>
              <w:rPr>
                <w:rFonts w:hint="default" w:ascii="Cambria Math" w:hAnsi="Cambria Math" w:cs="Times New Roman"/>
                <w:szCs w:val="20"/>
                <w:highlight w:val="none"/>
                <w:lang w:val="en-US" w:eastAsia="zh-CN"/>
              </w:rPr>
              <m:t>'</m:t>
            </m:r>
            <m:ctrlPr>
              <w:rPr>
                <w:rFonts w:hint="default" w:ascii="Cambria Math" w:hAnsi="Cambria Math" w:cs="Times New Roman"/>
                <w:szCs w:val="20"/>
                <w:highlight w:val="none"/>
                <w:lang w:val="en-US" w:eastAsia="zh-CN"/>
              </w:rPr>
            </m:ctrlPr>
          </m:sup>
        </m:sSup>
        <m:r>
          <m:rPr>
            <m:sty m:val="p"/>
          </m:rPr>
          <w:rPr>
            <w:rFonts w:hint="default" w:ascii="Cambria Math" w:hAnsi="Cambria Math" w:cs="Times New Roman"/>
            <w:szCs w:val="20"/>
            <w:highlight w:val="none"/>
            <w:lang w:val="en-US" w:eastAsia="zh-CN"/>
          </w:rPr>
          <m:t>(</m:t>
        </m:r>
        <m:sSub>
          <m:sSubPr>
            <m:ctrlPr>
              <w:rPr>
                <w:rFonts w:hint="default" w:ascii="Cambria Math" w:hAnsi="Cambria Math" w:cs="Times New Roman"/>
                <w:szCs w:val="20"/>
                <w:highlight w:val="none"/>
                <w:lang w:val="en-US" w:eastAsia="zh-CN"/>
              </w:rPr>
            </m:ctrlPr>
          </m:sSubPr>
          <m:e>
            <m:r>
              <m:rPr>
                <m:sty m:val="p"/>
              </m:rPr>
              <w:rPr>
                <w:rFonts w:hint="default" w:ascii="Cambria Math" w:hAnsi="Cambria Math" w:cs="Times New Roman"/>
                <w:szCs w:val="20"/>
                <w:highlight w:val="none"/>
                <w:lang w:val="en-US" w:eastAsia="zh-CN"/>
              </w:rPr>
              <m:t>O</m:t>
            </m:r>
            <m:ctrlPr>
              <w:rPr>
                <w:rFonts w:hint="default" w:ascii="Cambria Math" w:hAnsi="Cambria Math" w:cs="Times New Roman"/>
                <w:szCs w:val="20"/>
                <w:highlight w:val="none"/>
                <w:lang w:val="en-US" w:eastAsia="zh-CN"/>
              </w:rPr>
            </m:ctrlPr>
          </m:e>
          <m:sub>
            <m:r>
              <m:rPr>
                <m:sty m:val="p"/>
              </m:rPr>
              <w:rPr>
                <w:rFonts w:hint="default" w:ascii="Cambria Math" w:hAnsi="Cambria Math" w:cs="Times New Roman"/>
                <w:szCs w:val="20"/>
                <w:highlight w:val="none"/>
                <w:lang w:val="en-US" w:eastAsia="zh-CN"/>
              </w:rPr>
              <m:t>2</m:t>
            </m:r>
            <m:ctrlPr>
              <w:rPr>
                <w:rFonts w:hint="default" w:ascii="Cambria Math" w:hAnsi="Cambria Math" w:cs="Times New Roman"/>
                <w:szCs w:val="20"/>
                <w:highlight w:val="none"/>
                <w:lang w:val="en-US" w:eastAsia="zh-CN"/>
              </w:rPr>
            </m:ctrlPr>
          </m:sub>
        </m:sSub>
        <m:r>
          <m:rPr>
            <m:sty m:val="p"/>
          </m:rPr>
          <w:rPr>
            <w:rFonts w:hint="default" w:ascii="Cambria Math" w:hAnsi="Cambria Math" w:cs="Times New Roman"/>
            <w:szCs w:val="20"/>
            <w:highlight w:val="none"/>
            <w:lang w:val="en-US" w:eastAsia="zh-CN"/>
          </w:rPr>
          <m:t>)</m:t>
        </m:r>
      </m:oMath>
      <w:r>
        <w:rPr>
          <w:rFonts w:hint="default" w:ascii="Times New Roman" w:hAnsi="Times New Roman" w:cs="Times New Roman"/>
          <w:szCs w:val="20"/>
          <w:highlight w:val="none"/>
          <w:lang w:val="en-US" w:eastAsia="zh-CN"/>
        </w:rPr>
        <w:t>—实测的烟气氧含量（%）</w:t>
      </w:r>
    </w:p>
    <w:p>
      <w:pPr>
        <w:pStyle w:val="28"/>
        <w:ind w:left="420" w:hanging="420" w:hangingChars="200"/>
        <w:rPr>
          <w:rFonts w:ascii="黑体" w:hAnsi="黑体" w:eastAsia="黑体"/>
          <w:highlight w:val="none"/>
        </w:rPr>
      </w:pPr>
      <w:r>
        <w:rPr>
          <w:rFonts w:ascii="黑体" w:hAnsi="黑体" w:eastAsia="黑体"/>
          <w:highlight w:val="none"/>
        </w:rPr>
        <w:br w:type="textWrapping"/>
      </w:r>
      <w:r>
        <w:rPr>
          <w:rFonts w:ascii="黑体" w:hAnsi="黑体" w:eastAsia="黑体"/>
          <w:highlight w:val="none"/>
        </w:rPr>
        <w:t>现有焚烧设施existing incineration facility</w:t>
      </w:r>
    </w:p>
    <w:p>
      <w:pPr>
        <w:pStyle w:val="10"/>
        <w:rPr>
          <w:rFonts w:hint="default" w:hAnsi="Times New Roman" w:cs="Times New Roman"/>
          <w:szCs w:val="20"/>
          <w:highlight w:val="none"/>
          <w:lang w:val="en-US" w:eastAsia="zh-CN"/>
        </w:rPr>
      </w:pPr>
      <w:r>
        <w:rPr>
          <w:rFonts w:hint="default" w:hAnsi="Times New Roman" w:cs="Times New Roman"/>
          <w:szCs w:val="20"/>
          <w:highlight w:val="none"/>
          <w:lang w:val="en-US" w:eastAsia="zh-CN"/>
        </w:rPr>
        <w:t>本</w:t>
      </w:r>
      <w:r>
        <w:rPr>
          <w:rFonts w:hint="eastAsia" w:hAnsi="Times New Roman" w:cs="Times New Roman"/>
          <w:szCs w:val="20"/>
          <w:highlight w:val="none"/>
          <w:lang w:val="en-US" w:eastAsia="zh-CN"/>
        </w:rPr>
        <w:t>标准</w:t>
      </w:r>
      <w:r>
        <w:rPr>
          <w:rFonts w:hint="default" w:hAnsi="Times New Roman" w:cs="Times New Roman"/>
          <w:szCs w:val="20"/>
          <w:highlight w:val="none"/>
          <w:lang w:val="en-US" w:eastAsia="zh-CN"/>
        </w:rPr>
        <w:t>实施之日前，已建成投入使用或环境影响评价文件已通过审批的危险废物焚烧设施。</w:t>
      </w:r>
    </w:p>
    <w:p>
      <w:pPr>
        <w:pStyle w:val="28"/>
        <w:ind w:left="420" w:hanging="420" w:hangingChars="200"/>
        <w:rPr>
          <w:rFonts w:ascii="黑体" w:hAnsi="黑体" w:eastAsia="黑体"/>
          <w:highlight w:val="none"/>
        </w:rPr>
      </w:pPr>
      <w:r>
        <w:rPr>
          <w:rFonts w:ascii="黑体" w:hAnsi="黑体" w:eastAsia="黑体"/>
          <w:highlight w:val="none"/>
        </w:rPr>
        <w:br w:type="textWrapping"/>
      </w:r>
      <w:r>
        <w:rPr>
          <w:rFonts w:ascii="黑体" w:hAnsi="黑体" w:eastAsia="黑体"/>
          <w:highlight w:val="none"/>
        </w:rPr>
        <w:t>新建焚烧设施new incineration facility</w:t>
      </w:r>
    </w:p>
    <w:p>
      <w:pPr>
        <w:pStyle w:val="10"/>
        <w:rPr>
          <w:rFonts w:hint="default" w:hAnsi="Times New Roman" w:cs="Times New Roman"/>
          <w:szCs w:val="20"/>
          <w:highlight w:val="none"/>
          <w:lang w:val="en-US" w:eastAsia="zh-CN"/>
        </w:rPr>
      </w:pPr>
      <w:r>
        <w:rPr>
          <w:rFonts w:hint="default" w:hAnsi="Times New Roman" w:cs="Times New Roman"/>
          <w:szCs w:val="20"/>
          <w:highlight w:val="none"/>
          <w:lang w:val="en-US" w:eastAsia="zh-CN"/>
        </w:rPr>
        <w:t>本</w:t>
      </w:r>
      <w:r>
        <w:rPr>
          <w:rFonts w:hint="eastAsia" w:hAnsi="Times New Roman" w:cs="Times New Roman"/>
          <w:szCs w:val="20"/>
          <w:highlight w:val="none"/>
          <w:lang w:val="en-US" w:eastAsia="zh-CN"/>
        </w:rPr>
        <w:t>标准</w:t>
      </w:r>
      <w:r>
        <w:rPr>
          <w:rFonts w:hint="default" w:hAnsi="Times New Roman" w:cs="Times New Roman"/>
          <w:szCs w:val="20"/>
          <w:highlight w:val="none"/>
          <w:lang w:val="en-US" w:eastAsia="zh-CN"/>
        </w:rPr>
        <w:t>实施之日后，环境影响评价文件通过审批的新建、改建和扩建危险废物焚烧设施。</w:t>
      </w:r>
    </w:p>
    <w:p>
      <w:pPr>
        <w:pStyle w:val="27"/>
        <w:spacing w:before="312" w:after="312"/>
        <w:rPr>
          <w:rFonts w:hint="eastAsia"/>
        </w:rPr>
      </w:pPr>
      <w:bookmarkStart w:id="25" w:name="_Toc7986"/>
      <w:r>
        <w:rPr>
          <w:rFonts w:ascii="Times New Roman" w:hAnsi="Times New Roman" w:eastAsia="黑体" w:cs="Times New Roman"/>
          <w:szCs w:val="20"/>
        </w:rPr>
        <w:t>大气污染物</w:t>
      </w:r>
      <w:r>
        <w:rPr>
          <w:rFonts w:hint="eastAsia"/>
        </w:rPr>
        <w:t>排放控制要求</w:t>
      </w:r>
      <w:bookmarkEnd w:id="25"/>
    </w:p>
    <w:p>
      <w:pPr>
        <w:pStyle w:val="28"/>
        <w:keepNext w:val="0"/>
        <w:keepLines w:val="0"/>
        <w:pageBreakBefore w:val="0"/>
        <w:widowControl/>
        <w:kinsoku/>
        <w:wordWrap/>
        <w:overflowPunct/>
        <w:topLinePunct w:val="0"/>
        <w:autoSpaceDE/>
        <w:autoSpaceDN/>
        <w:bidi w:val="0"/>
        <w:adjustRightInd/>
        <w:snapToGrid/>
        <w:ind w:left="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宋体" w:cs="Times New Roman"/>
          <w:sz w:val="21"/>
          <w:lang w:val="en-US" w:eastAsia="zh-CN" w:bidi="ar-SA"/>
        </w:rPr>
        <w:t>新建焚烧设施自</w:t>
      </w:r>
      <w:r>
        <w:rPr>
          <w:rFonts w:hint="eastAsia" w:ascii="Times New Roman" w:cs="Times New Roman"/>
          <w:sz w:val="21"/>
          <w:lang w:val="en-US" w:eastAsia="zh-CN" w:bidi="ar-SA"/>
        </w:rPr>
        <w:t>本标准</w:t>
      </w:r>
      <w:r>
        <w:rPr>
          <w:rFonts w:hint="default" w:ascii="Times New Roman" w:hAnsi="Times New Roman" w:eastAsia="宋体" w:cs="Times New Roman"/>
          <w:sz w:val="21"/>
          <w:lang w:val="en-US" w:eastAsia="zh-CN" w:bidi="ar-SA"/>
        </w:rPr>
        <w:t>实施之日起执行表1的限值要求；现有焚烧设施</w:t>
      </w:r>
      <w:r>
        <w:rPr>
          <w:rFonts w:ascii="Times New Roman" w:hAnsi="Times New Roman" w:eastAsia="宋体" w:cs="Times New Roman"/>
          <w:color w:val="000000"/>
          <w:szCs w:val="21"/>
        </w:rPr>
        <w:t>自</w:t>
      </w:r>
      <w:r>
        <w:rPr>
          <w:rFonts w:hint="default" w:ascii="Times New Roman" w:hAnsi="Times New Roman" w:eastAsia="宋体" w:cs="Times New Roman"/>
          <w:sz w:val="21"/>
          <w:lang w:val="en-US" w:eastAsia="zh-CN" w:bidi="ar-SA"/>
        </w:rPr>
        <w:t>202x年x月x日</w:t>
      </w:r>
      <w:r>
        <w:rPr>
          <w:rFonts w:ascii="Times New Roman" w:hAnsi="Times New Roman" w:eastAsia="宋体" w:cs="Times New Roman"/>
          <w:color w:val="000000"/>
          <w:szCs w:val="21"/>
        </w:rPr>
        <w:t>起，执行表1规定的大气污染物排放限值</w:t>
      </w:r>
      <w:r>
        <w:rPr>
          <w:rFonts w:hint="default" w:ascii="Times New Roman" w:hAnsi="Times New Roman" w:eastAsia="宋体" w:cs="Times New Roman"/>
          <w:sz w:val="21"/>
          <w:lang w:val="en-US" w:eastAsia="zh-CN" w:bidi="ar-SA"/>
        </w:rPr>
        <w:t>。</w:t>
      </w:r>
    </w:p>
    <w:p>
      <w:pPr>
        <w:pStyle w:val="35"/>
        <w:tabs>
          <w:tab w:val="left" w:pos="0"/>
        </w:tabs>
        <w:spacing w:before="156" w:after="156"/>
        <w:rPr>
          <w:rFonts w:hint="eastAsia"/>
        </w:rPr>
      </w:pPr>
      <w:r>
        <w:rPr>
          <w:rFonts w:hint="eastAsia"/>
        </w:rPr>
        <w:t>危险废物焚烧设施烟气污染物排放浓度限值</w:t>
      </w:r>
    </w:p>
    <w:p>
      <w:pPr>
        <w:spacing w:before="246" w:line="250" w:lineRule="exact"/>
        <w:jc w:val="right"/>
        <w:rPr>
          <w:rFonts w:ascii="Times New Roman" w:hAnsi="Times New Roman" w:eastAsia="Times New Roman" w:cs="Times New Roman"/>
          <w:sz w:val="12"/>
          <w:szCs w:val="12"/>
        </w:rPr>
      </w:pPr>
      <w:r>
        <w:rPr>
          <w:rFonts w:ascii="宋体" w:hAnsi="宋体" w:eastAsia="宋体" w:cs="宋体"/>
          <w:spacing w:val="-2"/>
          <w:position w:val="2"/>
          <w:sz w:val="18"/>
          <w:szCs w:val="18"/>
        </w:rPr>
        <w:t>单位：</w:t>
      </w:r>
      <w:r>
        <w:rPr>
          <w:rFonts w:ascii="Times New Roman" w:hAnsi="Times New Roman" w:eastAsia="Times New Roman" w:cs="Times New Roman"/>
          <w:spacing w:val="-2"/>
          <w:position w:val="2"/>
          <w:sz w:val="18"/>
          <w:szCs w:val="18"/>
        </w:rPr>
        <w:t>mg/m</w:t>
      </w:r>
      <w:r>
        <w:rPr>
          <w:rFonts w:ascii="Times New Roman" w:hAnsi="Times New Roman" w:eastAsia="Times New Roman" w:cs="Times New Roman"/>
          <w:spacing w:val="-2"/>
          <w:position w:val="9"/>
          <w:sz w:val="12"/>
          <w:szCs w:val="12"/>
        </w:rPr>
        <w:t>3</w:t>
      </w:r>
    </w:p>
    <w:p>
      <w:pPr>
        <w:spacing w:line="32" w:lineRule="exact"/>
      </w:pPr>
    </w:p>
    <w:tbl>
      <w:tblPr>
        <w:tblStyle w:val="11"/>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4"/>
        <w:gridCol w:w="4482"/>
        <w:gridCol w:w="1398"/>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blHeader/>
        </w:trPr>
        <w:tc>
          <w:tcPr>
            <w:tcW w:w="319"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5"/>
                <w:sz w:val="18"/>
                <w:szCs w:val="18"/>
              </w:rPr>
              <w:t>序号</w:t>
            </w:r>
          </w:p>
        </w:tc>
        <w:tc>
          <w:tcPr>
            <w:tcW w:w="2449"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污染物项目</w:t>
            </w:r>
          </w:p>
        </w:tc>
        <w:tc>
          <w:tcPr>
            <w:tcW w:w="764"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1"/>
                <w:sz w:val="18"/>
                <w:szCs w:val="18"/>
              </w:rPr>
              <w:t>限值</w:t>
            </w:r>
            <w:r>
              <w:rPr>
                <w:rFonts w:hint="eastAsia" w:ascii="Times New Roman" w:hAnsi="Times New Roman" w:eastAsia="宋体" w:cs="Arial Unicode MS"/>
                <w:spacing w:val="-11"/>
                <w:sz w:val="18"/>
                <w:szCs w:val="18"/>
                <w:lang w:val="en-US" w:eastAsia="zh-CN"/>
              </w:rPr>
              <w:t xml:space="preserve"> </w:t>
            </w:r>
            <w:r>
              <w:rPr>
                <w:rFonts w:hint="eastAsia" w:ascii="Times New Roman" w:hAnsi="Times New Roman" w:eastAsia="宋体"/>
                <w:sz w:val="18"/>
                <w:szCs w:val="18"/>
                <w:vertAlign w:val="superscript"/>
                <w:lang w:val="en-US" w:eastAsia="zh-CN"/>
              </w:rPr>
              <w:t>a</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rFonts w:ascii="Times New Roman" w:hAnsi="Times New Roman" w:eastAsia="宋体" w:cs="Arial Unicode MS"/>
                <w:sz w:val="21"/>
                <w:szCs w:val="21"/>
              </w:rPr>
            </w:pPr>
            <w:r>
              <w:rPr>
                <w:rFonts w:ascii="Times New Roman" w:hAnsi="Times New Roman" w:eastAsia="宋体" w:cs="Arial Unicode MS"/>
                <w:spacing w:val="-11"/>
                <w:sz w:val="18"/>
                <w:szCs w:val="18"/>
              </w:rPr>
              <w:t>取值时间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z w:val="18"/>
                <w:szCs w:val="18"/>
              </w:rPr>
              <w:t>1</w:t>
            </w:r>
          </w:p>
        </w:tc>
        <w:tc>
          <w:tcPr>
            <w:tcW w:w="2449" w:type="pct"/>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2"/>
                <w:sz w:val="18"/>
                <w:szCs w:val="18"/>
              </w:rPr>
              <w:t>颗粒物</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20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10"/>
                <w:sz w:val="18"/>
                <w:szCs w:val="18"/>
              </w:rPr>
              <w:t>10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31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z w:val="18"/>
                <w:szCs w:val="18"/>
              </w:rPr>
              <w:t>2</w:t>
            </w:r>
          </w:p>
        </w:tc>
        <w:tc>
          <w:tcPr>
            <w:tcW w:w="244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一氧化碳（</w:t>
            </w:r>
            <w:r>
              <w:rPr>
                <w:rFonts w:ascii="Times New Roman" w:hAnsi="Times New Roman" w:eastAsia="宋体"/>
                <w:spacing w:val="-1"/>
                <w:sz w:val="18"/>
                <w:szCs w:val="18"/>
              </w:rPr>
              <w:t>CO</w:t>
            </w:r>
            <w:r>
              <w:rPr>
                <w:rFonts w:ascii="Times New Roman" w:hAnsi="Times New Roman" w:eastAsia="宋体" w:cs="Arial Unicode MS"/>
                <w:spacing w:val="-1"/>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4"/>
                <w:sz w:val="18"/>
                <w:szCs w:val="18"/>
              </w:rPr>
              <w:t>50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4"/>
                <w:sz w:val="18"/>
                <w:szCs w:val="18"/>
              </w:rPr>
              <w:t>30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z w:val="18"/>
                <w:szCs w:val="18"/>
              </w:rPr>
              <w:t>3</w:t>
            </w:r>
          </w:p>
        </w:tc>
        <w:tc>
          <w:tcPr>
            <w:tcW w:w="244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2"/>
                <w:sz w:val="18"/>
                <w:szCs w:val="18"/>
              </w:rPr>
              <w:t>氮氧化物（</w:t>
            </w:r>
            <w:r>
              <w:rPr>
                <w:rFonts w:ascii="Times New Roman" w:hAnsi="Times New Roman" w:eastAsia="宋体"/>
                <w:spacing w:val="-2"/>
                <w:sz w:val="18"/>
                <w:szCs w:val="18"/>
              </w:rPr>
              <w:t>NO</w:t>
            </w:r>
            <w:r>
              <w:rPr>
                <w:rFonts w:hint="eastAsia" w:eastAsia="宋体"/>
                <w:spacing w:val="-2"/>
                <w:sz w:val="18"/>
                <w:szCs w:val="18"/>
                <w:vertAlign w:val="subscript"/>
                <w:lang w:val="en-US" w:eastAsia="zh-CN"/>
              </w:rPr>
              <w:t>X</w:t>
            </w:r>
            <w:r>
              <w:rPr>
                <w:rFonts w:ascii="Times New Roman" w:hAnsi="Times New Roman" w:eastAsia="宋体" w:cs="Arial Unicode MS"/>
                <w:spacing w:val="-2"/>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default" w:ascii="Times New Roman" w:hAnsi="Times New Roman" w:eastAsia="宋体"/>
                <w:sz w:val="18"/>
                <w:szCs w:val="18"/>
                <w:lang w:val="en-US" w:eastAsia="zh-CN"/>
              </w:rPr>
            </w:pPr>
            <w:r>
              <w:rPr>
                <w:rFonts w:hint="eastAsia" w:eastAsia="宋体"/>
                <w:spacing w:val="-1"/>
                <w:sz w:val="18"/>
                <w:szCs w:val="18"/>
                <w:lang w:val="en-US" w:eastAsia="zh-CN"/>
              </w:rPr>
              <w:t>1</w:t>
            </w:r>
            <w:r>
              <w:rPr>
                <w:rFonts w:ascii="Times New Roman" w:hAnsi="Times New Roman" w:eastAsia="宋体"/>
                <w:spacing w:val="-1"/>
                <w:sz w:val="18"/>
                <w:szCs w:val="18"/>
              </w:rPr>
              <w:t>50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hint="eastAsia" w:eastAsia="宋体"/>
                <w:spacing w:val="-2"/>
                <w:sz w:val="18"/>
                <w:szCs w:val="18"/>
                <w:lang w:val="en-US" w:eastAsia="zh-CN"/>
              </w:rPr>
              <w:t>100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z w:val="18"/>
                <w:szCs w:val="18"/>
              </w:rPr>
              <w:t>4</w:t>
            </w:r>
          </w:p>
        </w:tc>
        <w:tc>
          <w:tcPr>
            <w:tcW w:w="244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二氧化硫（</w:t>
            </w:r>
            <w:r>
              <w:rPr>
                <w:rFonts w:ascii="Times New Roman" w:hAnsi="Times New Roman" w:eastAsia="宋体"/>
                <w:spacing w:val="-3"/>
                <w:sz w:val="18"/>
                <w:szCs w:val="18"/>
              </w:rPr>
              <w:t>SO</w:t>
            </w:r>
            <w:r>
              <w:rPr>
                <w:rFonts w:hint="eastAsia" w:eastAsia="宋体"/>
                <w:spacing w:val="-3"/>
                <w:sz w:val="18"/>
                <w:szCs w:val="18"/>
                <w:vertAlign w:val="subscript"/>
                <w:lang w:val="en-US" w:eastAsia="zh-CN"/>
              </w:rPr>
              <w:t>2</w:t>
            </w:r>
            <w:r>
              <w:rPr>
                <w:rFonts w:ascii="Times New Roman" w:hAnsi="Times New Roman" w:eastAsia="宋体" w:cs="Arial Unicode MS"/>
                <w:spacing w:val="-3"/>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default" w:ascii="Times New Roman" w:hAnsi="Times New Roman" w:eastAsia="宋体"/>
                <w:sz w:val="18"/>
                <w:szCs w:val="18"/>
                <w:lang w:val="en-US" w:eastAsia="zh-CN"/>
              </w:rPr>
            </w:pPr>
            <w:r>
              <w:rPr>
                <w:rFonts w:hint="eastAsia" w:eastAsia="宋体"/>
                <w:spacing w:val="-7"/>
                <w:sz w:val="18"/>
                <w:szCs w:val="18"/>
                <w:lang w:val="en-US" w:eastAsia="zh-CN"/>
              </w:rPr>
              <w:t>30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default" w:ascii="Times New Roman" w:hAnsi="Times New Roman" w:eastAsia="宋体"/>
                <w:sz w:val="18"/>
                <w:szCs w:val="18"/>
                <w:lang w:val="en-US" w:eastAsia="zh-CN"/>
              </w:rPr>
            </w:pPr>
            <w:r>
              <w:rPr>
                <w:rFonts w:hint="eastAsia" w:eastAsia="宋体"/>
                <w:spacing w:val="-4"/>
                <w:sz w:val="18"/>
                <w:szCs w:val="18"/>
                <w:lang w:val="en-US" w:eastAsia="zh-CN"/>
              </w:rPr>
              <w:t>20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restart"/>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z w:val="18"/>
                <w:szCs w:val="18"/>
              </w:rPr>
            </w:pPr>
            <w:r>
              <w:rPr>
                <w:rFonts w:ascii="Times New Roman" w:hAnsi="Times New Roman" w:eastAsia="宋体"/>
                <w:sz w:val="18"/>
                <w:szCs w:val="18"/>
              </w:rPr>
              <w:t>5</w:t>
            </w:r>
          </w:p>
        </w:tc>
        <w:tc>
          <w:tcPr>
            <w:tcW w:w="2449" w:type="pct"/>
            <w:vMerge w:val="restart"/>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z w:val="18"/>
                <w:szCs w:val="18"/>
              </w:rPr>
            </w:pPr>
            <w:r>
              <w:rPr>
                <w:rFonts w:ascii="Times New Roman" w:hAnsi="Times New Roman" w:eastAsia="宋体" w:cs="Arial Unicode MS"/>
                <w:spacing w:val="2"/>
                <w:sz w:val="18"/>
                <w:szCs w:val="18"/>
              </w:rPr>
              <w:t>氯化氢（</w:t>
            </w:r>
            <w:r>
              <w:rPr>
                <w:rFonts w:ascii="Times New Roman" w:hAnsi="Times New Roman" w:eastAsia="宋体"/>
                <w:sz w:val="18"/>
                <w:szCs w:val="18"/>
              </w:rPr>
              <w:t>HCl</w:t>
            </w:r>
            <w:r>
              <w:rPr>
                <w:rFonts w:ascii="Times New Roman" w:hAnsi="Times New Roman" w:eastAsia="宋体" w:cs="Arial Unicode MS"/>
                <w:spacing w:val="2"/>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hint="default" w:ascii="Times New Roman" w:hAnsi="Times New Roman" w:eastAsia="宋体"/>
                <w:spacing w:val="-4"/>
                <w:sz w:val="18"/>
                <w:szCs w:val="18"/>
                <w:lang w:val="en-US" w:eastAsia="zh-CN"/>
              </w:rPr>
            </w:pPr>
            <w:r>
              <w:rPr>
                <w:rFonts w:hint="eastAsia" w:eastAsia="宋体"/>
                <w:spacing w:val="-4"/>
                <w:sz w:val="18"/>
                <w:szCs w:val="18"/>
                <w:lang w:val="en-US" w:eastAsia="zh-CN"/>
              </w:rPr>
              <w:t>10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pacing w:val="-1"/>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spacing w:val="-4"/>
                <w:sz w:val="18"/>
                <w:szCs w:val="18"/>
              </w:rPr>
            </w:pPr>
            <w:r>
              <w:rPr>
                <w:rFonts w:hint="eastAsia" w:eastAsia="宋体"/>
                <w:spacing w:val="-10"/>
                <w:sz w:val="18"/>
                <w:szCs w:val="18"/>
                <w:lang w:val="en-US" w:eastAsia="zh-CN"/>
              </w:rPr>
              <w:t>8</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pacing w:val="-1"/>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1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sz w:val="18"/>
                <w:szCs w:val="18"/>
              </w:rPr>
            </w:pPr>
            <w:r>
              <w:rPr>
                <w:rFonts w:ascii="Times New Roman" w:hAnsi="Times New Roman" w:eastAsia="宋体"/>
                <w:sz w:val="18"/>
                <w:szCs w:val="18"/>
              </w:rPr>
              <w:t>6</w:t>
            </w:r>
          </w:p>
        </w:tc>
        <w:tc>
          <w:tcPr>
            <w:tcW w:w="2449"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2"/>
                <w:sz w:val="18"/>
                <w:szCs w:val="18"/>
              </w:rPr>
              <w:t>氟化氢（</w:t>
            </w:r>
            <w:r>
              <w:rPr>
                <w:rFonts w:ascii="Times New Roman" w:hAnsi="Times New Roman" w:eastAsia="宋体"/>
                <w:sz w:val="18"/>
                <w:szCs w:val="18"/>
              </w:rPr>
              <w:t>HF</w:t>
            </w:r>
            <w:r>
              <w:rPr>
                <w:rFonts w:ascii="Times New Roman" w:hAnsi="Times New Roman" w:eastAsia="宋体" w:cs="Arial Unicode MS"/>
                <w:spacing w:val="2"/>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1"/>
                <w:sz w:val="18"/>
                <w:szCs w:val="18"/>
              </w:rPr>
              <w:t>2.0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4"/>
                <w:sz w:val="18"/>
                <w:szCs w:val="18"/>
              </w:rPr>
              <w:t>1</w:t>
            </w:r>
            <w:r>
              <w:rPr>
                <w:rFonts w:ascii="Times New Roman" w:hAnsi="Times New Roman" w:eastAsia="宋体" w:cs="Arial Unicode MS"/>
                <w:spacing w:val="-4"/>
                <w:sz w:val="18"/>
                <w:szCs w:val="18"/>
              </w:rPr>
              <w:t>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2449" w:type="pct"/>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7"/>
                <w:sz w:val="18"/>
                <w:szCs w:val="18"/>
              </w:rPr>
              <w:t>1.0</w:t>
            </w:r>
          </w:p>
        </w:tc>
        <w:tc>
          <w:tcPr>
            <w:tcW w:w="146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spacing w:val="-1"/>
                <w:sz w:val="18"/>
                <w:szCs w:val="18"/>
              </w:rPr>
              <w:t>24</w:t>
            </w:r>
            <w:r>
              <w:rPr>
                <w:rFonts w:ascii="Times New Roman" w:hAnsi="Times New Roman" w:eastAsia="宋体" w:cs="Arial Unicode MS"/>
                <w:spacing w:val="-1"/>
                <w:sz w:val="18"/>
                <w:szCs w:val="18"/>
              </w:rPr>
              <w:t>小时均值或日均值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z w:val="18"/>
                <w:szCs w:val="18"/>
              </w:rPr>
              <w:t>7</w:t>
            </w:r>
          </w:p>
        </w:tc>
        <w:tc>
          <w:tcPr>
            <w:tcW w:w="2449" w:type="pct"/>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hint="default" w:ascii="Times New Roman" w:hAnsi="Times New Roman" w:eastAsia="宋体"/>
                <w:sz w:val="18"/>
                <w:szCs w:val="18"/>
                <w:lang w:val="en-US" w:eastAsia="zh-CN"/>
              </w:rPr>
            </w:pPr>
            <w:r>
              <w:rPr>
                <w:rFonts w:hint="eastAsia" w:ascii="Times New Roman" w:hAnsi="Times New Roman" w:eastAsia="宋体"/>
                <w:sz w:val="18"/>
                <w:szCs w:val="18"/>
              </w:rPr>
              <w:t>氨（NH</w:t>
            </w:r>
            <w:r>
              <w:rPr>
                <w:rFonts w:hint="eastAsia" w:ascii="Times New Roman" w:hAnsi="Times New Roman" w:eastAsia="宋体"/>
                <w:sz w:val="18"/>
                <w:szCs w:val="18"/>
                <w:vertAlign w:val="subscript"/>
              </w:rPr>
              <w:t>3</w:t>
            </w:r>
            <w:r>
              <w:rPr>
                <w:rFonts w:hint="eastAsia" w:ascii="Times New Roman" w:hAnsi="Times New Roman" w:eastAsia="宋体"/>
                <w:sz w:val="18"/>
                <w:szCs w:val="18"/>
              </w:rPr>
              <w:t>）</w:t>
            </w:r>
            <w:r>
              <w:rPr>
                <w:rFonts w:hint="eastAsia" w:ascii="Times New Roman" w:hAnsi="Times New Roman" w:eastAsia="宋体"/>
                <w:sz w:val="18"/>
                <w:szCs w:val="18"/>
                <w:vertAlign w:val="superscript"/>
                <w:lang w:val="en-US" w:eastAsia="zh-CN"/>
              </w:rPr>
              <w:t>b</w:t>
            </w:r>
          </w:p>
        </w:tc>
        <w:tc>
          <w:tcPr>
            <w:tcW w:w="764" w:type="pct"/>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宋体"/>
                <w:spacing w:val="-10"/>
                <w:sz w:val="18"/>
                <w:szCs w:val="18"/>
              </w:rPr>
            </w:pPr>
            <w:r>
              <w:rPr>
                <w:rFonts w:ascii="Times New Roman" w:hAnsi="Times New Roman" w:eastAsia="宋体" w:cs="Times New Roman"/>
                <w:sz w:val="18"/>
                <w:szCs w:val="18"/>
              </w:rPr>
              <w:t>8</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ascii="Times New Roman" w:hAnsi="Times New Roman" w:eastAsia="宋体"/>
                <w:spacing w:val="-1"/>
                <w:sz w:val="18"/>
                <w:szCs w:val="18"/>
              </w:rPr>
            </w:pPr>
            <w:r>
              <w:rPr>
                <w:rFonts w:ascii="Times New Roman" w:hAnsi="Times New Roman" w:eastAsia="宋体" w:cs="Times New Roman"/>
                <w:sz w:val="18"/>
                <w:szCs w:val="18"/>
              </w:rPr>
              <w:t>1小时均值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z w:val="18"/>
                <w:szCs w:val="18"/>
              </w:rPr>
              <w:t>8</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汞及其化合物（以</w:t>
            </w:r>
            <w:r>
              <w:rPr>
                <w:rFonts w:ascii="Times New Roman" w:hAnsi="Times New Roman" w:eastAsia="宋体"/>
                <w:spacing w:val="-1"/>
                <w:sz w:val="18"/>
                <w:szCs w:val="18"/>
              </w:rPr>
              <w:t>Hg</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0.02</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z w:val="18"/>
                <w:szCs w:val="18"/>
              </w:rPr>
              <w:t>9</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铊及其化合物（以</w:t>
            </w:r>
            <w:r>
              <w:rPr>
                <w:rFonts w:ascii="Times New Roman" w:hAnsi="Times New Roman" w:eastAsia="宋体"/>
                <w:spacing w:val="-1"/>
                <w:sz w:val="18"/>
                <w:szCs w:val="18"/>
              </w:rPr>
              <w:t>Tl</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0.02</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pacing w:val="-10"/>
                <w:sz w:val="18"/>
                <w:szCs w:val="18"/>
              </w:rPr>
              <w:t>10</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镉及其化合物（以</w:t>
            </w:r>
            <w:r>
              <w:rPr>
                <w:rFonts w:ascii="Times New Roman" w:hAnsi="Times New Roman" w:eastAsia="宋体"/>
                <w:sz w:val="18"/>
                <w:szCs w:val="18"/>
              </w:rPr>
              <w:t>Cd</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0.02</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pacing w:val="-10"/>
                <w:sz w:val="18"/>
                <w:szCs w:val="18"/>
              </w:rPr>
              <w:t>11</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铅及其化合物（以</w:t>
            </w:r>
            <w:r>
              <w:rPr>
                <w:rFonts w:ascii="Times New Roman" w:hAnsi="Times New Roman" w:eastAsia="宋体"/>
                <w:sz w:val="18"/>
                <w:szCs w:val="18"/>
              </w:rPr>
              <w:t>Pb</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0.1</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pacing w:val="-10"/>
                <w:sz w:val="18"/>
                <w:szCs w:val="18"/>
              </w:rPr>
              <w:t>12</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砷及其化合物（以</w:t>
            </w:r>
            <w:r>
              <w:rPr>
                <w:rFonts w:ascii="Times New Roman" w:hAnsi="Times New Roman" w:eastAsia="宋体"/>
                <w:spacing w:val="-1"/>
                <w:sz w:val="18"/>
                <w:szCs w:val="18"/>
              </w:rPr>
              <w:t>As</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0.1</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pacing w:val="-10"/>
                <w:sz w:val="18"/>
                <w:szCs w:val="18"/>
              </w:rPr>
              <w:t>13</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z w:val="18"/>
                <w:szCs w:val="18"/>
              </w:rPr>
              <w:t>铬及其化合物（以</w:t>
            </w:r>
            <w:r>
              <w:rPr>
                <w:rFonts w:ascii="Times New Roman" w:hAnsi="Times New Roman" w:eastAsia="宋体"/>
                <w:sz w:val="18"/>
                <w:szCs w:val="18"/>
              </w:rPr>
              <w:t>Cr</w:t>
            </w:r>
            <w:r>
              <w:rPr>
                <w:rFonts w:ascii="Times New Roman" w:hAnsi="Times New Roman" w:eastAsia="宋体" w:cs="Arial Unicode MS"/>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0.1</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leftChars="0"/>
              <w:jc w:val="center"/>
              <w:textAlignment w:val="baseline"/>
              <w:rPr>
                <w:rFonts w:ascii="Times New Roman" w:hAnsi="Times New Roman" w:eastAsia="宋体" w:cs="Times New Roman"/>
                <w:snapToGrid w:val="0"/>
                <w:color w:val="000000"/>
                <w:kern w:val="0"/>
                <w:sz w:val="18"/>
                <w:szCs w:val="18"/>
                <w:lang w:val="en-US" w:eastAsia="en-US" w:bidi="ar-SA"/>
              </w:rPr>
            </w:pPr>
            <w:r>
              <w:rPr>
                <w:rFonts w:ascii="Times New Roman" w:hAnsi="Times New Roman" w:eastAsia="宋体"/>
                <w:spacing w:val="-10"/>
                <w:sz w:val="18"/>
                <w:szCs w:val="18"/>
              </w:rPr>
              <w:t>14</w:t>
            </w:r>
          </w:p>
        </w:tc>
        <w:tc>
          <w:tcPr>
            <w:tcW w:w="244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1"/>
                <w:sz w:val="18"/>
                <w:szCs w:val="18"/>
              </w:rPr>
              <w:t>锡、锑、铜、锰、镍、钴及其化合物（以</w:t>
            </w:r>
          </w:p>
          <w:p>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宋体" w:cs="Arial Unicode MS"/>
                <w:sz w:val="18"/>
                <w:szCs w:val="18"/>
              </w:rPr>
            </w:pPr>
            <w:r>
              <w:rPr>
                <w:rFonts w:ascii="Times New Roman" w:hAnsi="Times New Roman" w:eastAsia="宋体"/>
                <w:sz w:val="18"/>
                <w:szCs w:val="18"/>
              </w:rPr>
              <w:t>Sn</w:t>
            </w:r>
            <w:r>
              <w:rPr>
                <w:rFonts w:ascii="Times New Roman" w:hAnsi="Times New Roman" w:eastAsia="宋体"/>
                <w:spacing w:val="1"/>
                <w:sz w:val="18"/>
                <w:szCs w:val="18"/>
              </w:rPr>
              <w:t>+</w:t>
            </w:r>
            <w:r>
              <w:rPr>
                <w:rFonts w:ascii="Times New Roman" w:hAnsi="Times New Roman" w:eastAsia="宋体"/>
                <w:sz w:val="18"/>
                <w:szCs w:val="18"/>
              </w:rPr>
              <w:t>Sb</w:t>
            </w:r>
            <w:r>
              <w:rPr>
                <w:rFonts w:ascii="Times New Roman" w:hAnsi="Times New Roman" w:eastAsia="宋体"/>
                <w:spacing w:val="1"/>
                <w:sz w:val="18"/>
                <w:szCs w:val="18"/>
              </w:rPr>
              <w:t>+</w:t>
            </w:r>
            <w:r>
              <w:rPr>
                <w:rFonts w:ascii="Times New Roman" w:hAnsi="Times New Roman" w:eastAsia="宋体"/>
                <w:sz w:val="18"/>
                <w:szCs w:val="18"/>
              </w:rPr>
              <w:t>Cu</w:t>
            </w:r>
            <w:r>
              <w:rPr>
                <w:rFonts w:ascii="Times New Roman" w:hAnsi="Times New Roman" w:eastAsia="宋体"/>
                <w:spacing w:val="1"/>
                <w:sz w:val="18"/>
                <w:szCs w:val="18"/>
              </w:rPr>
              <w:t>+</w:t>
            </w:r>
            <w:r>
              <w:rPr>
                <w:rFonts w:ascii="Times New Roman" w:hAnsi="Times New Roman" w:eastAsia="宋体"/>
                <w:sz w:val="18"/>
                <w:szCs w:val="18"/>
              </w:rPr>
              <w:t>Mn</w:t>
            </w:r>
            <w:r>
              <w:rPr>
                <w:rFonts w:ascii="Times New Roman" w:hAnsi="Times New Roman" w:eastAsia="宋体"/>
                <w:spacing w:val="1"/>
                <w:sz w:val="18"/>
                <w:szCs w:val="18"/>
              </w:rPr>
              <w:t>+</w:t>
            </w:r>
            <w:r>
              <w:rPr>
                <w:rFonts w:ascii="Times New Roman" w:hAnsi="Times New Roman" w:eastAsia="宋体"/>
                <w:sz w:val="18"/>
                <w:szCs w:val="18"/>
              </w:rPr>
              <w:t>Ni</w:t>
            </w:r>
            <w:r>
              <w:rPr>
                <w:rFonts w:ascii="Times New Roman" w:hAnsi="Times New Roman" w:eastAsia="宋体"/>
                <w:spacing w:val="1"/>
                <w:sz w:val="18"/>
                <w:szCs w:val="18"/>
              </w:rPr>
              <w:t>+</w:t>
            </w:r>
            <w:r>
              <w:rPr>
                <w:rFonts w:ascii="Times New Roman" w:hAnsi="Times New Roman" w:eastAsia="宋体"/>
                <w:sz w:val="18"/>
                <w:szCs w:val="18"/>
              </w:rPr>
              <w:t>Co</w:t>
            </w:r>
            <w:r>
              <w:rPr>
                <w:rFonts w:ascii="Times New Roman" w:hAnsi="Times New Roman" w:eastAsia="宋体" w:cs="Arial Unicode MS"/>
                <w:spacing w:val="1"/>
                <w:sz w:val="18"/>
                <w:szCs w:val="18"/>
              </w:rPr>
              <w:t>计）</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0.5</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trPr>
        <w:tc>
          <w:tcPr>
            <w:tcW w:w="31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hint="default" w:ascii="Times New Roman" w:hAnsi="Times New Roman" w:eastAsia="宋体"/>
                <w:sz w:val="18"/>
                <w:szCs w:val="18"/>
                <w:lang w:val="en-US" w:eastAsia="zh-CN"/>
              </w:rPr>
            </w:pPr>
            <w:r>
              <w:rPr>
                <w:rFonts w:hint="eastAsia" w:eastAsia="宋体"/>
                <w:sz w:val="18"/>
                <w:szCs w:val="18"/>
                <w:lang w:val="en-US" w:eastAsia="zh-CN"/>
              </w:rPr>
              <w:t>15</w:t>
            </w:r>
          </w:p>
        </w:tc>
        <w:tc>
          <w:tcPr>
            <w:tcW w:w="2449"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2"/>
                <w:sz w:val="18"/>
                <w:szCs w:val="18"/>
              </w:rPr>
              <w:t>二噁英类（</w:t>
            </w:r>
            <w:r>
              <w:rPr>
                <w:rFonts w:ascii="Times New Roman" w:hAnsi="Times New Roman" w:eastAsia="宋体"/>
                <w:spacing w:val="-2"/>
                <w:sz w:val="18"/>
                <w:szCs w:val="18"/>
              </w:rPr>
              <w:t>ng</w:t>
            </w:r>
            <w:r>
              <w:rPr>
                <w:rFonts w:hint="eastAsia" w:eastAsia="宋体"/>
                <w:spacing w:val="-2"/>
                <w:sz w:val="18"/>
                <w:szCs w:val="18"/>
                <w:lang w:val="en-US" w:eastAsia="zh-CN"/>
              </w:rPr>
              <w:t xml:space="preserve"> </w:t>
            </w:r>
            <w:r>
              <w:rPr>
                <w:rFonts w:ascii="Times New Roman" w:hAnsi="Times New Roman" w:eastAsia="宋体"/>
                <w:spacing w:val="-2"/>
                <w:sz w:val="18"/>
                <w:szCs w:val="18"/>
              </w:rPr>
              <w:t>TEQ/Nm</w:t>
            </w:r>
            <w:r>
              <w:rPr>
                <w:rFonts w:hint="eastAsia" w:eastAsia="宋体"/>
                <w:spacing w:val="-2"/>
                <w:sz w:val="18"/>
                <w:szCs w:val="18"/>
                <w:vertAlign w:val="superscript"/>
                <w:lang w:val="en-US" w:eastAsia="zh-CN"/>
              </w:rPr>
              <w:t>3</w:t>
            </w:r>
            <w:r>
              <w:rPr>
                <w:rFonts w:ascii="Times New Roman" w:hAnsi="Times New Roman" w:eastAsia="宋体" w:cs="Arial Unicode MS"/>
                <w:spacing w:val="-2"/>
                <w:sz w:val="18"/>
                <w:szCs w:val="18"/>
              </w:rPr>
              <w:t>）</w:t>
            </w:r>
          </w:p>
        </w:tc>
        <w:tc>
          <w:tcPr>
            <w:tcW w:w="764"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sz w:val="18"/>
                <w:szCs w:val="18"/>
              </w:rPr>
            </w:pPr>
            <w:r>
              <w:rPr>
                <w:rFonts w:ascii="Times New Roman" w:hAnsi="Times New Roman" w:eastAsia="宋体"/>
                <w:spacing w:val="-2"/>
                <w:sz w:val="18"/>
                <w:szCs w:val="18"/>
              </w:rPr>
              <w:t>0.1</w:t>
            </w:r>
          </w:p>
        </w:tc>
        <w:tc>
          <w:tcPr>
            <w:tcW w:w="1466" w:type="pct"/>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left="0"/>
              <w:jc w:val="center"/>
              <w:textAlignment w:val="baseline"/>
              <w:rPr>
                <w:rFonts w:ascii="Times New Roman" w:hAnsi="Times New Roman" w:eastAsia="宋体" w:cs="Arial Unicode MS"/>
                <w:sz w:val="18"/>
                <w:szCs w:val="18"/>
              </w:rPr>
            </w:pPr>
            <w:r>
              <w:rPr>
                <w:rFonts w:ascii="Times New Roman" w:hAnsi="Times New Roman" w:eastAsia="宋体" w:cs="Arial Unicode MS"/>
                <w:spacing w:val="-3"/>
                <w:sz w:val="18"/>
                <w:szCs w:val="18"/>
              </w:rPr>
              <w:t>测定均值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000" w:type="pct"/>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ascii="Times New Roman" w:hAnsi="Times New Roman" w:eastAsia="宋体" w:cs="Arial Unicode MS"/>
                <w:spacing w:val="-1"/>
                <w:sz w:val="18"/>
                <w:szCs w:val="18"/>
                <w:highlight w:val="none"/>
              </w:rPr>
            </w:pPr>
            <w:r>
              <w:rPr>
                <w:rFonts w:ascii="Times New Roman" w:hAnsi="Times New Roman" w:eastAsia="宋体" w:cs="Arial Unicode MS"/>
                <w:spacing w:val="-1"/>
                <w:sz w:val="18"/>
                <w:szCs w:val="18"/>
                <w:highlight w:val="none"/>
              </w:rPr>
              <w:t>注：</w:t>
            </w:r>
            <w:r>
              <w:rPr>
                <w:rFonts w:hint="eastAsia" w:ascii="Times New Roman" w:hAnsi="Times New Roman" w:eastAsia="宋体" w:cs="Arial Unicode MS"/>
                <w:spacing w:val="-1"/>
                <w:sz w:val="18"/>
                <w:szCs w:val="18"/>
                <w:highlight w:val="none"/>
                <w:vertAlign w:val="superscript"/>
                <w:lang w:val="en-US" w:eastAsia="zh-CN"/>
              </w:rPr>
              <w:t xml:space="preserve">a </w:t>
            </w:r>
            <w:r>
              <w:rPr>
                <w:rFonts w:ascii="Times New Roman" w:hAnsi="Times New Roman" w:eastAsia="宋体" w:cs="Arial Unicode MS"/>
                <w:spacing w:val="-1"/>
                <w:sz w:val="18"/>
                <w:szCs w:val="18"/>
                <w:highlight w:val="none"/>
              </w:rPr>
              <w:t>表中污染物限值为基准氧含量排放浓度。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default" w:ascii="Times New Roman" w:hAnsi="Times New Roman" w:eastAsia="宋体" w:cs="Arial Unicode MS"/>
                <w:spacing w:val="-1"/>
                <w:sz w:val="18"/>
                <w:szCs w:val="18"/>
                <w:highlight w:val="none"/>
                <w:lang w:val="en-US" w:eastAsia="zh-CN"/>
              </w:rPr>
            </w:pPr>
            <w:r>
              <w:rPr>
                <w:rFonts w:hint="eastAsia" w:ascii="Times New Roman" w:hAnsi="Times New Roman" w:eastAsia="宋体" w:cs="Arial Unicode MS"/>
                <w:spacing w:val="-1"/>
                <w:sz w:val="18"/>
                <w:szCs w:val="18"/>
                <w:highlight w:val="none"/>
                <w:lang w:val="en-US" w:eastAsia="zh-CN"/>
              </w:rPr>
              <w:t xml:space="preserve">    </w:t>
            </w:r>
            <w:r>
              <w:rPr>
                <w:rFonts w:hint="eastAsia" w:ascii="Times New Roman" w:hAnsi="Times New Roman" w:eastAsia="宋体" w:cs="Arial Unicode MS"/>
                <w:spacing w:val="-1"/>
                <w:sz w:val="18"/>
                <w:szCs w:val="18"/>
                <w:highlight w:val="none"/>
                <w:vertAlign w:val="superscript"/>
                <w:lang w:val="en-US" w:eastAsia="zh-CN"/>
              </w:rPr>
              <w:t xml:space="preserve">b </w:t>
            </w:r>
            <w:r>
              <w:rPr>
                <w:rFonts w:hint="eastAsia" w:ascii="Times New Roman" w:hAnsi="Times New Roman" w:eastAsia="宋体" w:cs="Arial Unicode MS"/>
                <w:spacing w:val="-1"/>
                <w:sz w:val="18"/>
                <w:szCs w:val="18"/>
                <w:highlight w:val="none"/>
                <w:vertAlign w:val="baseline"/>
                <w:lang w:val="en-US" w:eastAsia="zh-CN"/>
              </w:rPr>
              <w:t>适用于采用尿素、氨水等含氨物质作为还原剂控制氮氧化物的危险废物焚烧设施。</w:t>
            </w:r>
          </w:p>
        </w:tc>
      </w:tr>
    </w:tbl>
    <w:p>
      <w:pPr>
        <w:pStyle w:val="30"/>
        <w:spacing w:before="156" w:after="156"/>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焚烧炉在启炉、停炉、故障或事故时间内，所获得的监测数据不作为评价是否达到本标准排放限值的依据，但在此期间内颗粒物浓度的1小时均值不得大于150mg/m</w:t>
      </w:r>
      <w:r>
        <w:rPr>
          <w:rFonts w:hint="default" w:ascii="Times New Roman" w:hAnsi="Times New Roman" w:eastAsia="宋体" w:cs="Times New Roman"/>
          <w:sz w:val="21"/>
          <w:vertAlign w:val="superscript"/>
        </w:rPr>
        <w:t>3</w:t>
      </w:r>
      <w:r>
        <w:rPr>
          <w:rFonts w:hint="default" w:ascii="Times New Roman" w:hAnsi="Times New Roman" w:eastAsia="宋体" w:cs="Times New Roman"/>
          <w:sz w:val="21"/>
        </w:rPr>
        <w:t>。</w:t>
      </w:r>
    </w:p>
    <w:p>
      <w:pPr>
        <w:pStyle w:val="30"/>
        <w:spacing w:before="156" w:after="156"/>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除危险废物焚烧炉外的其他生产设施及厂界的大气污染物排放应符合GB 16297和DB 12/059的相关规定。属于GB 37822 定义的VOCs物料的危险废物，其贮存、运输、预处理等环节的挥发性有机物无组织排放控制应符合GB 37822 的相关规定。</w:t>
      </w:r>
    </w:p>
    <w:p>
      <w:pPr>
        <w:pStyle w:val="27"/>
        <w:spacing w:before="312" w:after="312"/>
        <w:rPr>
          <w:rFonts w:hint="eastAsia"/>
        </w:rPr>
      </w:pPr>
      <w:bookmarkStart w:id="26" w:name="_Toc3404"/>
      <w:r>
        <w:rPr>
          <w:rFonts w:hint="eastAsia"/>
        </w:rPr>
        <w:t>环境监测要求</w:t>
      </w:r>
      <w:bookmarkEnd w:id="26"/>
    </w:p>
    <w:p>
      <w:pPr>
        <w:pStyle w:val="30"/>
        <w:spacing w:before="156" w:after="156"/>
        <w:rPr>
          <w:rFonts w:hint="eastAsia"/>
        </w:rPr>
      </w:pPr>
      <w:r>
        <w:rPr>
          <w:rFonts w:hint="eastAsia"/>
        </w:rPr>
        <w:t>一般规定</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危险废物焚烧单位应依据有关法律、《环境监测管理办法》、 HJ 819和HJ 1205 等规定，建立自行监测制度，制订监测方案，对大气污染物排放状况及其对周边环境质量的影响开展自行监测，保存原始监测记录，并按照排污许可证规定如实公开污染物排放信息。</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焚烧设施安装污染物排放自动监控设备，应依据有关法律</w:t>
      </w:r>
      <w:r>
        <w:rPr>
          <w:rFonts w:hint="eastAsia" w:ascii="Times New Roman" w:eastAsia="宋体" w:cs="Times New Roman"/>
          <w:sz w:val="21"/>
          <w:szCs w:val="20"/>
          <w:lang w:val="en-US" w:eastAsia="zh-CN" w:bidi="ar-SA"/>
        </w:rPr>
        <w:t>、</w:t>
      </w:r>
      <w:r>
        <w:rPr>
          <w:rFonts w:hint="default" w:ascii="Times New Roman" w:hAnsi="Times New Roman" w:eastAsia="宋体" w:cs="Times New Roman"/>
          <w:sz w:val="21"/>
          <w:szCs w:val="20"/>
          <w:lang w:val="en-US" w:eastAsia="zh-CN" w:bidi="ar-SA"/>
        </w:rPr>
        <w:t>《污染源自动监控管理办法》</w:t>
      </w:r>
      <w:r>
        <w:rPr>
          <w:rFonts w:hint="eastAsia" w:ascii="Times New Roman" w:eastAsia="宋体" w:cs="Times New Roman"/>
          <w:sz w:val="21"/>
          <w:szCs w:val="20"/>
          <w:lang w:val="en-US" w:eastAsia="zh-CN" w:bidi="ar-SA"/>
        </w:rPr>
        <w:t>和《天津市固定污染源自动监控管理办法（修订）》</w:t>
      </w:r>
      <w:r>
        <w:rPr>
          <w:rFonts w:hint="default" w:ascii="Times New Roman" w:hAnsi="Times New Roman" w:eastAsia="宋体" w:cs="Times New Roman"/>
          <w:sz w:val="21"/>
          <w:szCs w:val="20"/>
          <w:lang w:val="en-US" w:eastAsia="zh-CN" w:bidi="ar-SA"/>
        </w:rPr>
        <w:t>的规定执行。</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本标准实施后国家发布的污染物监测方法标准，如适用性满足要求，同样适用于本标准相应污染物的测定。</w:t>
      </w:r>
    </w:p>
    <w:p>
      <w:pPr>
        <w:pStyle w:val="30"/>
        <w:spacing w:before="156" w:after="156"/>
        <w:rPr>
          <w:rFonts w:hint="eastAsia"/>
        </w:rPr>
      </w:pPr>
      <w:r>
        <w:rPr>
          <w:rFonts w:hint="eastAsia"/>
          <w:lang w:eastAsia="zh-CN"/>
        </w:rPr>
        <w:t>采样平台设置</w:t>
      </w:r>
    </w:p>
    <w:p>
      <w:pPr>
        <w:pStyle w:val="32"/>
        <w:spacing w:before="156" w:after="156"/>
        <w:rPr>
          <w:rFonts w:hint="default"/>
          <w:lang w:val="en-US" w:eastAsia="zh-CN"/>
        </w:rPr>
      </w:pPr>
      <w:r>
        <w:rPr>
          <w:rFonts w:hint="eastAsia" w:ascii="Times New Roman" w:eastAsia="宋体" w:cs="Times New Roman"/>
          <w:sz w:val="21"/>
          <w:szCs w:val="20"/>
          <w:lang w:val="en-US" w:eastAsia="zh-CN" w:bidi="ar-SA"/>
        </w:rPr>
        <w:t>排放监控位置须设置规范</w:t>
      </w:r>
      <w:r>
        <w:rPr>
          <w:rFonts w:hint="default" w:ascii="Times New Roman" w:hAnsi="Times New Roman" w:eastAsia="宋体" w:cs="Times New Roman"/>
          <w:sz w:val="21"/>
          <w:szCs w:val="20"/>
          <w:lang w:val="en-US" w:eastAsia="zh-CN" w:bidi="ar-SA"/>
        </w:rPr>
        <w:t>采样</w:t>
      </w:r>
      <w:r>
        <w:rPr>
          <w:rFonts w:hint="eastAsia" w:ascii="Times New Roman" w:eastAsia="宋体" w:cs="Times New Roman"/>
          <w:sz w:val="21"/>
          <w:szCs w:val="20"/>
          <w:lang w:val="en-US" w:eastAsia="zh-CN" w:bidi="ar-SA"/>
        </w:rPr>
        <w:t>孔</w:t>
      </w:r>
      <w:r>
        <w:rPr>
          <w:rFonts w:hint="default" w:ascii="Times New Roman" w:hAnsi="Times New Roman" w:eastAsia="宋体" w:cs="Times New Roman"/>
          <w:sz w:val="21"/>
          <w:szCs w:val="20"/>
          <w:lang w:val="en-US" w:eastAsia="zh-CN" w:bidi="ar-SA"/>
        </w:rPr>
        <w:t>、采样平台和排污口标志。</w:t>
      </w:r>
    </w:p>
    <w:p>
      <w:pPr>
        <w:pStyle w:val="32"/>
        <w:spacing w:before="156" w:after="156"/>
        <w:rPr>
          <w:rFonts w:hint="default" w:ascii="Times New Roman" w:eastAsia="宋体" w:cs="Times New Roman"/>
          <w:sz w:val="21"/>
          <w:szCs w:val="20"/>
          <w:lang w:val="en-US" w:eastAsia="zh-CN" w:bidi="ar-SA"/>
        </w:rPr>
      </w:pPr>
      <w:r>
        <w:rPr>
          <w:rFonts w:hint="default" w:ascii="Times New Roman" w:eastAsia="宋体" w:cs="Times New Roman"/>
          <w:sz w:val="21"/>
          <w:szCs w:val="20"/>
          <w:lang w:val="en-US" w:eastAsia="zh-CN" w:bidi="ar-SA"/>
        </w:rPr>
        <w:t>采样孔的设置</w:t>
      </w:r>
      <w:r>
        <w:rPr>
          <w:rFonts w:hint="eastAsia" w:ascii="Times New Roman" w:eastAsia="宋体" w:cs="Times New Roman"/>
          <w:sz w:val="21"/>
          <w:szCs w:val="20"/>
          <w:lang w:val="en-US" w:eastAsia="zh-CN" w:bidi="ar-SA"/>
        </w:rPr>
        <w:t>（</w:t>
      </w:r>
      <w:r>
        <w:rPr>
          <w:rFonts w:hint="default" w:ascii="Times New Roman" w:eastAsia="宋体" w:cs="Times New Roman"/>
          <w:sz w:val="21"/>
          <w:szCs w:val="20"/>
          <w:lang w:val="en-US" w:eastAsia="zh-CN" w:bidi="ar-SA"/>
        </w:rPr>
        <w:t>包括采样位置和采样点</w:t>
      </w:r>
      <w:r>
        <w:rPr>
          <w:rFonts w:hint="eastAsia" w:ascii="Times New Roman" w:eastAsia="宋体" w:cs="Times New Roman"/>
          <w:sz w:val="21"/>
          <w:szCs w:val="20"/>
          <w:lang w:val="en-US" w:eastAsia="zh-CN" w:bidi="ar-SA"/>
        </w:rPr>
        <w:t>）</w:t>
      </w:r>
      <w:r>
        <w:rPr>
          <w:rFonts w:hint="default" w:ascii="Times New Roman" w:eastAsia="宋体" w:cs="Times New Roman"/>
          <w:sz w:val="21"/>
          <w:szCs w:val="20"/>
          <w:lang w:val="en-US" w:eastAsia="zh-CN" w:bidi="ar-SA"/>
        </w:rPr>
        <w:t>应符合GB/T 16157中的要求，采样孔内径应不小于80mm，宜选用90-120mm内径的采样孔。</w:t>
      </w:r>
    </w:p>
    <w:p>
      <w:pPr>
        <w:pStyle w:val="32"/>
        <w:spacing w:before="156" w:after="156"/>
        <w:rPr>
          <w:rFonts w:hint="default" w:ascii="Times New Roman" w:eastAsia="宋体" w:cs="Times New Roman"/>
          <w:sz w:val="21"/>
          <w:szCs w:val="20"/>
          <w:lang w:val="en-US" w:eastAsia="zh-CN" w:bidi="ar-SA"/>
        </w:rPr>
      </w:pPr>
      <w:r>
        <w:rPr>
          <w:rFonts w:hint="default" w:ascii="Times New Roman" w:eastAsia="宋体" w:cs="Times New Roman"/>
          <w:sz w:val="21"/>
          <w:szCs w:val="20"/>
          <w:lang w:val="en-US" w:eastAsia="zh-CN" w:bidi="ar-SA"/>
        </w:rPr>
        <w:t>采样或监测平台长度应</w:t>
      </w:r>
      <w:r>
        <w:rPr>
          <w:rFonts w:hint="eastAsia" w:ascii="Times New Roman" w:eastAsia="宋体" w:cs="Times New Roman"/>
          <w:sz w:val="21"/>
          <w:szCs w:val="20"/>
          <w:lang w:val="en-US" w:eastAsia="zh-CN" w:bidi="ar-SA"/>
        </w:rPr>
        <w:t>≥</w:t>
      </w:r>
      <w:r>
        <w:rPr>
          <w:rFonts w:hint="default" w:ascii="Times New Roman" w:eastAsia="宋体" w:cs="Times New Roman"/>
          <w:sz w:val="21"/>
          <w:szCs w:val="20"/>
          <w:lang w:val="en-US" w:eastAsia="zh-CN" w:bidi="ar-SA"/>
        </w:rPr>
        <w:t>2m</w:t>
      </w:r>
      <w:r>
        <w:rPr>
          <w:rFonts w:hint="eastAsia" w:ascii="Times New Roman" w:eastAsia="宋体" w:cs="Times New Roman"/>
          <w:sz w:val="21"/>
          <w:szCs w:val="20"/>
          <w:lang w:val="en-US" w:eastAsia="zh-CN" w:bidi="ar-SA"/>
        </w:rPr>
        <w:t>，</w:t>
      </w:r>
      <w:r>
        <w:rPr>
          <w:rFonts w:hint="default" w:ascii="Times New Roman" w:eastAsia="宋体" w:cs="Times New Roman"/>
          <w:sz w:val="21"/>
          <w:szCs w:val="20"/>
          <w:lang w:val="en-US" w:eastAsia="zh-CN" w:bidi="ar-SA"/>
        </w:rPr>
        <w:t>宽度应</w:t>
      </w:r>
      <w:r>
        <w:rPr>
          <w:rFonts w:hint="eastAsia" w:ascii="Times New Roman" w:eastAsia="宋体" w:cs="Times New Roman"/>
          <w:sz w:val="21"/>
          <w:szCs w:val="20"/>
          <w:lang w:val="en-US" w:eastAsia="zh-CN" w:bidi="ar-SA"/>
        </w:rPr>
        <w:t>≥</w:t>
      </w:r>
      <w:r>
        <w:rPr>
          <w:rFonts w:hint="default" w:ascii="Times New Roman" w:eastAsia="宋体" w:cs="Times New Roman"/>
          <w:sz w:val="21"/>
          <w:szCs w:val="20"/>
          <w:lang w:val="en-US" w:eastAsia="zh-CN" w:bidi="ar-SA"/>
        </w:rPr>
        <w:t>2m或不小于采样枪长度外延1m，周围设置1.2m以上的安全防护栏，有牢固并符合要求的安全措施，其中监测平台的防护栏杆应带踢脚板。监测平台地面应确保人员安全，承重不小于3kN/m²，并设置一个低压配电箱，保证监测设备所需电力。</w:t>
      </w:r>
    </w:p>
    <w:p>
      <w:pPr>
        <w:pStyle w:val="32"/>
        <w:spacing w:before="156" w:after="156"/>
        <w:rPr>
          <w:rFonts w:hint="default" w:ascii="Times New Roman" w:eastAsia="宋体" w:cs="Times New Roman"/>
          <w:sz w:val="21"/>
          <w:szCs w:val="20"/>
          <w:lang w:val="en-US" w:eastAsia="zh-CN" w:bidi="ar-SA"/>
        </w:rPr>
      </w:pPr>
      <w:r>
        <w:rPr>
          <w:rFonts w:hint="eastAsia" w:ascii="Times New Roman" w:eastAsia="宋体" w:cs="Times New Roman"/>
          <w:sz w:val="21"/>
          <w:szCs w:val="20"/>
          <w:lang w:val="en-US" w:eastAsia="zh-CN" w:bidi="ar-SA"/>
        </w:rPr>
        <w:t>采样平台应易于人员和监测仪器到达，当采样平台设置在离地面高度≥2m的位置时，应有通往平台的斜梯（或Z字梯、旋梯），宽度应≥0.9m；当采样平台设置在离地面高度≥20m的位置时，应有通往平台的</w:t>
      </w:r>
      <w:r>
        <w:rPr>
          <w:rFonts w:ascii="Times New Roman" w:hAnsi="Times New Roman" w:eastAsia="宋体" w:cs="Times New Roman"/>
          <w:color w:val="000000"/>
          <w:szCs w:val="21"/>
        </w:rPr>
        <w:t>升降梯</w:t>
      </w:r>
      <w:r>
        <w:rPr>
          <w:rFonts w:hint="eastAsia" w:ascii="Times New Roman" w:eastAsia="宋体" w:cs="Times New Roman"/>
          <w:sz w:val="21"/>
          <w:szCs w:val="20"/>
          <w:lang w:val="en-US" w:eastAsia="zh-CN" w:bidi="ar-SA"/>
        </w:rPr>
        <w:t>。</w:t>
      </w:r>
    </w:p>
    <w:p>
      <w:pPr>
        <w:pStyle w:val="30"/>
        <w:spacing w:before="156" w:after="156"/>
        <w:rPr>
          <w:rFonts w:hint="eastAsia"/>
        </w:rPr>
      </w:pPr>
      <w:r>
        <w:rPr>
          <w:rFonts w:hint="eastAsia"/>
        </w:rPr>
        <w:t>大气污染物监测</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应根据监测大气污染物的种类，在规定的污染物排放监控位置进行采样；有废气处理设施的，应在该设施后检测。排气筒中大气污染物的监测采样应</w:t>
      </w:r>
      <w:r>
        <w:rPr>
          <w:rFonts w:hint="eastAsia" w:ascii="Times New Roman" w:eastAsia="宋体" w:cs="Times New Roman"/>
          <w:sz w:val="21"/>
          <w:szCs w:val="20"/>
          <w:lang w:val="en-US" w:eastAsia="zh-CN" w:bidi="ar-SA"/>
        </w:rPr>
        <w:t>按</w:t>
      </w:r>
      <w:r>
        <w:rPr>
          <w:rFonts w:hint="default" w:ascii="Times New Roman" w:hAnsi="Times New Roman" w:eastAsia="宋体" w:cs="Times New Roman"/>
          <w:sz w:val="21"/>
          <w:szCs w:val="20"/>
          <w:lang w:val="en-US" w:eastAsia="zh-CN" w:bidi="ar-SA"/>
        </w:rPr>
        <w:t>GB/T 16157、HJ 916、HJ/T 397、HJ/T 365、HJ</w:t>
      </w:r>
      <w:r>
        <w:rPr>
          <w:rFonts w:hint="eastAsia" w:ascii="Times New Roman" w:eastAsia="宋体" w:cs="Times New Roman"/>
          <w:sz w:val="21"/>
          <w:szCs w:val="20"/>
          <w:lang w:val="en-US" w:eastAsia="zh-CN" w:bidi="ar-SA"/>
        </w:rPr>
        <w:t xml:space="preserve"> </w:t>
      </w:r>
      <w:r>
        <w:rPr>
          <w:rFonts w:hint="default" w:ascii="Times New Roman" w:hAnsi="Times New Roman" w:eastAsia="宋体" w:cs="Times New Roman"/>
          <w:sz w:val="21"/>
          <w:szCs w:val="20"/>
          <w:lang w:val="en-US" w:eastAsia="zh-CN" w:bidi="ar-SA"/>
        </w:rPr>
        <w:t>75、HJ</w:t>
      </w:r>
      <w:r>
        <w:rPr>
          <w:rFonts w:hint="eastAsia" w:ascii="Times New Roman" w:eastAsia="宋体" w:cs="Times New Roman"/>
          <w:sz w:val="21"/>
          <w:szCs w:val="20"/>
          <w:lang w:val="en-US" w:eastAsia="zh-CN" w:bidi="ar-SA"/>
        </w:rPr>
        <w:t xml:space="preserve"> </w:t>
      </w:r>
      <w:r>
        <w:rPr>
          <w:rFonts w:hint="default" w:ascii="Times New Roman" w:hAnsi="Times New Roman" w:eastAsia="宋体" w:cs="Times New Roman"/>
          <w:sz w:val="21"/>
          <w:szCs w:val="20"/>
          <w:lang w:val="en-US" w:eastAsia="zh-CN" w:bidi="ar-SA"/>
        </w:rPr>
        <w:t>76</w:t>
      </w:r>
      <w:r>
        <w:rPr>
          <w:rFonts w:hint="eastAsia" w:ascii="Times New Roman" w:eastAsia="宋体" w:cs="Times New Roman"/>
          <w:sz w:val="21"/>
          <w:szCs w:val="20"/>
          <w:lang w:val="en-US" w:eastAsia="zh-CN" w:bidi="ar-SA"/>
        </w:rPr>
        <w:t>和HJ 1403</w:t>
      </w:r>
      <w:r>
        <w:rPr>
          <w:rFonts w:hint="default" w:ascii="Times New Roman" w:hAnsi="Times New Roman" w:eastAsia="宋体" w:cs="Times New Roman"/>
          <w:sz w:val="21"/>
          <w:szCs w:val="20"/>
          <w:lang w:val="en-US" w:eastAsia="zh-CN" w:bidi="ar-SA"/>
        </w:rPr>
        <w:t>的规定进行。</w:t>
      </w:r>
    </w:p>
    <w:p>
      <w:pPr>
        <w:pStyle w:val="32"/>
        <w:spacing w:before="156" w:after="156"/>
        <w:rPr>
          <w:rFonts w:hint="default" w:ascii="Times New Roman" w:hAnsi="Times New Roman" w:cs="Times New Roman"/>
          <w:sz w:val="21"/>
        </w:rPr>
      </w:pPr>
      <w:r>
        <w:rPr>
          <w:rFonts w:hint="default" w:ascii="Times New Roman" w:hAnsi="Times New Roman" w:eastAsia="宋体" w:cs="Times New Roman"/>
          <w:sz w:val="21"/>
          <w:szCs w:val="20"/>
          <w:lang w:val="en-US" w:eastAsia="zh-CN" w:bidi="ar-SA"/>
        </w:rPr>
        <w:t>焚烧单位应对焚烧烟气中主要污染物浓度进行在线自动监测，烟气在线自动监测指标应为 1 小时均值及日均值，且应至少包括氨、氯化氢、二氧化硫、氮氧化物、颗粒物、一氧化碳和烟气含氧量等。在线自动监测数据的采集和传输应符合 HJ 75</w:t>
      </w:r>
      <w:r>
        <w:rPr>
          <w:rFonts w:hint="eastAsia" w:ascii="Times New Roman" w:eastAsia="宋体" w:cs="Times New Roman"/>
          <w:sz w:val="21"/>
          <w:szCs w:val="20"/>
          <w:lang w:val="en-US" w:eastAsia="zh-CN" w:bidi="ar-SA"/>
        </w:rPr>
        <w:t>、HJ 76、HJ 1403</w:t>
      </w:r>
      <w:r>
        <w:rPr>
          <w:rFonts w:hint="default" w:ascii="Times New Roman" w:hAnsi="Times New Roman" w:eastAsia="宋体" w:cs="Times New Roman"/>
          <w:sz w:val="21"/>
          <w:szCs w:val="20"/>
          <w:lang w:val="en-US" w:eastAsia="zh-CN" w:bidi="ar-SA"/>
        </w:rPr>
        <w:t>和HJ 212的要求。</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对大气污染物中重金属类污染物的监测应每月至少 1 次；对大气污染物中</w:t>
      </w:r>
      <w:r>
        <w:rPr>
          <w:rFonts w:hint="eastAsia" w:ascii="Times New Roman" w:eastAsia="宋体" w:cs="Times New Roman"/>
          <w:sz w:val="21"/>
          <w:szCs w:val="20"/>
          <w:lang w:val="en-US" w:eastAsia="zh-CN" w:bidi="ar-SA"/>
        </w:rPr>
        <w:t>氟化氢、</w:t>
      </w:r>
      <w:r>
        <w:rPr>
          <w:rFonts w:hint="default" w:ascii="Times New Roman" w:hAnsi="Times New Roman" w:eastAsia="宋体" w:cs="Times New Roman"/>
          <w:sz w:val="21"/>
          <w:szCs w:val="20"/>
          <w:lang w:val="en-US" w:eastAsia="zh-CN" w:bidi="ar-SA"/>
        </w:rPr>
        <w:t>二噁英类的监测应每年至少 2 次。</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 xml:space="preserve">大气污染物浓度监测应采用表 </w:t>
      </w:r>
      <w:r>
        <w:rPr>
          <w:rFonts w:hint="eastAsia" w:ascii="Times New Roman" w:eastAsia="宋体" w:cs="Times New Roman"/>
          <w:sz w:val="21"/>
          <w:szCs w:val="20"/>
          <w:lang w:val="en-US" w:eastAsia="zh-CN" w:bidi="ar-SA"/>
        </w:rPr>
        <w:t>2</w:t>
      </w:r>
      <w:r>
        <w:rPr>
          <w:rFonts w:hint="default" w:ascii="Times New Roman" w:hAnsi="Times New Roman" w:eastAsia="宋体" w:cs="Times New Roman"/>
          <w:sz w:val="21"/>
          <w:szCs w:val="20"/>
          <w:lang w:val="en-US" w:eastAsia="zh-CN" w:bidi="ar-SA"/>
        </w:rPr>
        <w:t xml:space="preserve"> 所列的测定方法。</w:t>
      </w:r>
    </w:p>
    <w:p>
      <w:pPr>
        <w:pStyle w:val="35"/>
        <w:tabs>
          <w:tab w:val="left" w:pos="0"/>
        </w:tabs>
        <w:spacing w:before="156" w:beforeLines="0" w:after="156" w:afterLines="0"/>
        <w:rPr>
          <w:rFonts w:hint="eastAsia"/>
        </w:rPr>
      </w:pPr>
      <w:r>
        <w:rPr>
          <w:rFonts w:hint="eastAsia"/>
        </w:rPr>
        <w:t>大气污染物浓度测定方法</w:t>
      </w:r>
    </w:p>
    <w:tbl>
      <w:tblPr>
        <w:tblStyle w:val="11"/>
        <w:tblW w:w="50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1723"/>
        <w:gridCol w:w="5629"/>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5" w:hRule="atLeast"/>
          <w:tblHeader/>
          <w:jc w:val="center"/>
        </w:trPr>
        <w:tc>
          <w:tcPr>
            <w:tcW w:w="31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序号</w:t>
            </w:r>
          </w:p>
        </w:tc>
        <w:tc>
          <w:tcPr>
            <w:tcW w:w="938"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污染物项目</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方法标准名称</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方法标准编号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4" w:hRule="atLeast"/>
          <w:jc w:val="center"/>
        </w:trPr>
        <w:tc>
          <w:tcPr>
            <w:tcW w:w="316"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w:t>
            </w:r>
          </w:p>
        </w:tc>
        <w:tc>
          <w:tcPr>
            <w:tcW w:w="938"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颗粒物</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固定污染源排气中颗粒物测定与气态污染物采样方法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GB/T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16157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8" w:hRule="atLeast"/>
          <w:jc w:val="center"/>
        </w:trPr>
        <w:tc>
          <w:tcPr>
            <w:tcW w:w="316"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 低浓度颗粒物的测定 重量法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2</w:t>
            </w:r>
          </w:p>
        </w:tc>
        <w:tc>
          <w:tcPr>
            <w:tcW w:w="938"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一氧化碳（CO）</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固定污染源排气中一氧化碳的测定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非色散红外吸收法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 一氧化碳的测定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定电位电解法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2</w:t>
            </w:r>
          </w:p>
        </w:tc>
        <w:tc>
          <w:tcPr>
            <w:tcW w:w="938"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一氧化碳（CO）</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固定污染源废气 气态污染物（SO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、NO、NO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、CO、CO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）的测定 便携式傅立叶变换红外光谱法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default" w:ascii="Times New Roman" w:hAnsi="Times New Roman" w:eastAsia="宋体" w:cs="Times New Roman"/>
                <w:spacing w:val="-10"/>
                <w:sz w:val="18"/>
                <w:szCs w:val="18"/>
                <w:lang w:val="en-US" w:eastAsia="zh-CN"/>
              </w:rPr>
            </w:pPr>
            <w:r>
              <w:rPr>
                <w:rFonts w:hint="eastAsia" w:eastAsia="宋体" w:cs="Times New Roman"/>
                <w:spacing w:val="-10"/>
                <w:sz w:val="18"/>
                <w:szCs w:val="18"/>
                <w:lang w:val="en-US" w:eastAsia="zh-CN"/>
              </w:rPr>
              <w:t>HJ 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3</w:t>
            </w:r>
          </w:p>
        </w:tc>
        <w:tc>
          <w:tcPr>
            <w:tcW w:w="938"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氮氧化物（NO</w:t>
            </w:r>
            <w:r>
              <w:rPr>
                <w:rFonts w:ascii="Times New Roman" w:hAnsi="Times New Roman" w:eastAsia="宋体" w:cs="Times New Roman"/>
                <w:spacing w:val="-10"/>
                <w:sz w:val="18"/>
                <w:szCs w:val="18"/>
                <w:vertAlign w:val="subscript"/>
              </w:rPr>
              <w:t>X</w:t>
            </w:r>
            <w:r>
              <w:rPr>
                <w:rFonts w:ascii="Times New Roman" w:hAnsi="Times New Roman" w:eastAsia="宋体" w:cs="Times New Roman"/>
                <w:spacing w:val="-10"/>
                <w:sz w:val="18"/>
                <w:szCs w:val="18"/>
              </w:rPr>
              <w:t>）</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固定污染源排气中氮氧化物的测定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紫外分光光度法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固定污染源排气中氮氧化物的测定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盐酸萘乙二胺分光光度法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氮氧化物的测定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非分散红外吸收法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氮氧化物的测定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定电位电解法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氮氧化物的测定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便携式紫外吸收法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1132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固定污染源废气 气态污染物（SO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、NO、NO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、CO、CO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）的测定 便携式傅立叶变换红外光谱法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eastAsia="宋体" w:cs="Times New Roman"/>
                <w:spacing w:val="-10"/>
                <w:sz w:val="18"/>
                <w:szCs w:val="18"/>
                <w:lang w:val="en-US" w:eastAsia="zh-CN"/>
              </w:rPr>
              <w:t>HJ 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4</w:t>
            </w:r>
          </w:p>
        </w:tc>
        <w:tc>
          <w:tcPr>
            <w:tcW w:w="938"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二氧化硫（SO</w:t>
            </w:r>
            <w:r>
              <w:rPr>
                <w:rFonts w:ascii="Times New Roman" w:hAnsi="Times New Roman" w:eastAsia="宋体" w:cs="Times New Roman"/>
                <w:spacing w:val="-10"/>
                <w:sz w:val="18"/>
                <w:szCs w:val="18"/>
                <w:vertAlign w:val="subscript"/>
              </w:rPr>
              <w:t>2</w:t>
            </w:r>
            <w:r>
              <w:rPr>
                <w:rFonts w:ascii="Times New Roman" w:hAnsi="Times New Roman" w:eastAsia="宋体" w:cs="Times New Roman"/>
                <w:spacing w:val="-10"/>
                <w:sz w:val="18"/>
                <w:szCs w:val="18"/>
              </w:rPr>
              <w:t>）</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二氧化硫的测定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定电位电解法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二氧化硫的测定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非分散红外吸收法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二氧化硫的测定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便携式紫外吸收法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1131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固定污染源废气 气态污染物（SO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、NO、NO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、CO、CO</w:t>
            </w:r>
            <w:r>
              <w:rPr>
                <w:rFonts w:hint="eastAsia" w:ascii="Times New Roman" w:hAnsi="Times New Roman" w:eastAsia="宋体" w:cs="Times New Roman"/>
                <w:spacing w:val="-10"/>
                <w:sz w:val="18"/>
                <w:szCs w:val="18"/>
                <w:vertAlign w:val="subscript"/>
              </w:rPr>
              <w:t>2</w:t>
            </w:r>
            <w:r>
              <w:rPr>
                <w:rFonts w:hint="eastAsia" w:ascii="Times New Roman" w:hAnsi="Times New Roman" w:eastAsia="宋体" w:cs="Times New Roman"/>
                <w:spacing w:val="-10"/>
                <w:sz w:val="18"/>
                <w:szCs w:val="18"/>
              </w:rPr>
              <w:t>）的测定 便携式傅立叶变换红外光谱法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eastAsia="宋体" w:cs="Times New Roman"/>
                <w:spacing w:val="-10"/>
                <w:sz w:val="18"/>
                <w:szCs w:val="18"/>
                <w:lang w:val="en-US" w:eastAsia="zh-CN"/>
              </w:rPr>
              <w:t>HJ 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5</w:t>
            </w:r>
          </w:p>
        </w:tc>
        <w:tc>
          <w:tcPr>
            <w:tcW w:w="938"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氟化氢（HF）</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 氟化氢的测定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离子色谱法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6</w:t>
            </w:r>
          </w:p>
        </w:tc>
        <w:tc>
          <w:tcPr>
            <w:tcW w:w="938" w:type="pct"/>
            <w:vMerge w:val="restar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氯化氢（HCl）</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固定污染源排气中氯化氢的测定</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硫氰酸汞分光光度法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氯化氢的测定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硝酸银容量法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环境空气和废气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氯化氢的测定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离子色谱法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固定污染源废气 氨和氯化氢的测定 便携式傅立叶变换红外光谱法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default" w:ascii="Times New Roman" w:hAnsi="Times New Roman" w:eastAsia="宋体" w:cs="Times New Roman"/>
                <w:spacing w:val="-10"/>
                <w:sz w:val="18"/>
                <w:szCs w:val="18"/>
                <w:lang w:val="en-US" w:eastAsia="zh-CN"/>
              </w:rPr>
            </w:pPr>
            <w:r>
              <w:rPr>
                <w:rFonts w:hint="eastAsia" w:eastAsia="宋体" w:cs="Times New Roman"/>
                <w:spacing w:val="-10"/>
                <w:sz w:val="18"/>
                <w:szCs w:val="18"/>
                <w:lang w:val="en-US" w:eastAsia="zh-CN"/>
              </w:rPr>
              <w:t>HJ 1330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7</w:t>
            </w:r>
          </w:p>
        </w:tc>
        <w:tc>
          <w:tcPr>
            <w:tcW w:w="938" w:type="pct"/>
            <w:vMerge w:val="restart"/>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氨</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环境空气和废气 氨的测定 纳氏试剂分光光度法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固定污染源废气 氨和氯化氢的测定 便携式傅立叶变换红外光谱法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eastAsia="宋体" w:cs="Times New Roman"/>
                <w:spacing w:val="-10"/>
                <w:sz w:val="18"/>
                <w:szCs w:val="18"/>
                <w:lang w:val="en-US" w:eastAsia="zh-CN"/>
              </w:rPr>
              <w:t>HJ 1330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8</w:t>
            </w:r>
          </w:p>
        </w:tc>
        <w:tc>
          <w:tcPr>
            <w:tcW w:w="938"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汞及其化合物</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汞的测定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冷原子吸收分光光度法（暂行）</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气态汞的测定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活性炭吸附/热裂解原子吸收分光光度法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9</w:t>
            </w:r>
          </w:p>
        </w:tc>
        <w:tc>
          <w:tcPr>
            <w:tcW w:w="938"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镉及其化合物</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大气固定污染源</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镉的测定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火焰原子吸收分光光度法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64.1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大气固定污染源</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镉的测定</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石墨炉原子吸收分光光度法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大气固定污染源 镉的测定</w:t>
            </w:r>
            <w:r>
              <w:rPr>
                <w:rFonts w:hint="eastAsia" w:eastAsia="宋体" w:cs="Times New Roman"/>
                <w:spacing w:val="-10"/>
                <w:sz w:val="18"/>
                <w:szCs w:val="18"/>
                <w:lang w:eastAsia="zh-CN"/>
              </w:rPr>
              <w:t xml:space="preserve"> </w:t>
            </w:r>
            <w:r>
              <w:rPr>
                <w:rFonts w:hint="eastAsia" w:ascii="Times New Roman" w:hAnsi="Times New Roman" w:eastAsia="宋体" w:cs="Times New Roman"/>
                <w:spacing w:val="-10"/>
                <w:sz w:val="18"/>
                <w:szCs w:val="18"/>
              </w:rPr>
              <w:t>对-偶氮苯重氮氨基偶氮苯磺酸分光光度法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hint="eastAsia" w:ascii="Times New Roman" w:hAnsi="Times New Roman" w:eastAsia="宋体" w:cs="Times New Roman"/>
                <w:spacing w:val="-10"/>
                <w:sz w:val="18"/>
                <w:szCs w:val="18"/>
                <w:lang w:eastAsia="zh-CN"/>
              </w:rPr>
            </w:pPr>
            <w:r>
              <w:rPr>
                <w:rFonts w:ascii="Times New Roman" w:hAnsi="Times New Roman" w:eastAsia="宋体" w:cs="Times New Roman"/>
                <w:spacing w:val="-10"/>
                <w:sz w:val="18"/>
                <w:szCs w:val="18"/>
              </w:rPr>
              <w:t>HJ/T</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64.</w:t>
            </w:r>
            <w:r>
              <w:rPr>
                <w:rFonts w:hint="eastAsia" w:eastAsia="宋体" w:cs="Times New Roman"/>
                <w:spacing w:val="-10"/>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10</w:t>
            </w:r>
          </w:p>
        </w:tc>
        <w:tc>
          <w:tcPr>
            <w:tcW w:w="938" w:type="pct"/>
            <w:vMerge w:val="restart"/>
            <w:tcBorders>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铅及其化合物</w:t>
            </w: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bottom w:val="nil"/>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铅的测定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火焰原子吸收分光光度法</w:t>
            </w:r>
          </w:p>
        </w:tc>
        <w:tc>
          <w:tcPr>
            <w:tcW w:w="676" w:type="pct"/>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nil"/>
              <w:bottom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938" w:type="pct"/>
            <w:vMerge w:val="continue"/>
            <w:tcBorders>
              <w:top w:val="nil"/>
              <w:bottom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p>
        </w:tc>
        <w:tc>
          <w:tcPr>
            <w:tcW w:w="3067" w:type="pct"/>
            <w:tcBorders>
              <w:bottom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tcBorders>
              <w:bottom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11</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砷及其化合物</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固定污染源废气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砷的测定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二乙基二硫代氨基甲酸银分光光度法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540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环境空气和废气 颗粒物中砷、硒、 铋、锑的测定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原子荧光法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12</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铬及其化合物</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13</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锡</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大气固定污染源</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锡的测定</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石墨炉原子吸收分光光度法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 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14</w:t>
            </w:r>
          </w:p>
        </w:tc>
        <w:tc>
          <w:tcPr>
            <w:tcW w:w="938"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铊、锑、铜、锰、 钴</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 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15</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镍</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大气固定污染源</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镍的测定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火焰原子吸收分光光度法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大气固定污染源</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镍的测定</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石墨炉原子吸收分光光度法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HJ/T 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hint="eastAsia" w:ascii="Times New Roman" w:hAnsi="Times New Roman" w:eastAsia="宋体" w:cs="Times New Roman"/>
                <w:spacing w:val="-10"/>
                <w:sz w:val="18"/>
                <w:szCs w:val="18"/>
              </w:rPr>
              <w:t>大气固定污染源 镍的测定</w:t>
            </w:r>
            <w:r>
              <w:rPr>
                <w:rFonts w:hint="eastAsia" w:eastAsia="宋体" w:cs="Times New Roman"/>
                <w:spacing w:val="-10"/>
                <w:sz w:val="18"/>
                <w:szCs w:val="18"/>
                <w:lang w:eastAsia="zh-CN"/>
              </w:rPr>
              <w:t xml:space="preserve"> </w:t>
            </w:r>
            <w:r>
              <w:rPr>
                <w:rFonts w:hint="eastAsia" w:ascii="Times New Roman" w:hAnsi="Times New Roman" w:eastAsia="宋体" w:cs="Times New Roman"/>
                <w:spacing w:val="-10"/>
                <w:sz w:val="18"/>
                <w:szCs w:val="18"/>
              </w:rPr>
              <w:t>丁二酮肟-正丁醇萃取分光光度法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hint="eastAsia" w:ascii="Times New Roman" w:hAnsi="Times New Roman" w:eastAsia="宋体" w:cs="Times New Roman"/>
                <w:spacing w:val="-10"/>
                <w:sz w:val="18"/>
                <w:szCs w:val="18"/>
                <w:lang w:eastAsia="zh-CN"/>
              </w:rPr>
            </w:pPr>
            <w:r>
              <w:rPr>
                <w:rFonts w:ascii="Times New Roman" w:hAnsi="Times New Roman" w:eastAsia="宋体" w:cs="Times New Roman"/>
                <w:spacing w:val="-10"/>
                <w:sz w:val="18"/>
                <w:szCs w:val="18"/>
              </w:rPr>
              <w:t>HJ/T 63.</w:t>
            </w:r>
            <w:r>
              <w:rPr>
                <w:rFonts w:hint="eastAsia" w:eastAsia="宋体" w:cs="Times New Roman"/>
                <w:spacing w:val="-10"/>
                <w:sz w:val="18"/>
                <w:szCs w:val="1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 颗粒物中铅等金属元素的测定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电感耦合等离子体质谱法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657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空气和废气</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颗粒物中金属元素的测定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电感耦合等离子体发射光谱法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777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hint="default" w:ascii="Times New Roman" w:hAnsi="Times New Roman" w:eastAsia="宋体" w:cs="Times New Roman"/>
                <w:spacing w:val="-10"/>
                <w:sz w:val="18"/>
                <w:szCs w:val="18"/>
                <w:lang w:val="en-US" w:eastAsia="zh-CN"/>
              </w:rPr>
            </w:pPr>
            <w:r>
              <w:rPr>
                <w:rFonts w:hint="eastAsia" w:eastAsia="宋体" w:cs="Times New Roman"/>
                <w:spacing w:val="-10"/>
                <w:sz w:val="18"/>
                <w:szCs w:val="18"/>
                <w:lang w:val="en-US" w:eastAsia="zh-CN"/>
              </w:rPr>
              <w:t>16</w:t>
            </w:r>
          </w:p>
        </w:tc>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二噁英类</w:t>
            </w: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环境空气和废气</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二噁英类的测定</w:t>
            </w:r>
            <w:r>
              <w:rPr>
                <w:rFonts w:hint="eastAsia" w:eastAsia="宋体" w:cs="Times New Roman"/>
                <w:spacing w:val="-10"/>
                <w:sz w:val="18"/>
                <w:szCs w:val="18"/>
                <w:lang w:eastAsia="zh-CN"/>
              </w:rPr>
              <w:t xml:space="preserve"> </w:t>
            </w:r>
            <w:r>
              <w:rPr>
                <w:rFonts w:ascii="Times New Roman" w:hAnsi="Times New Roman" w:eastAsia="宋体" w:cs="Times New Roman"/>
                <w:spacing w:val="-10"/>
                <w:sz w:val="18"/>
                <w:szCs w:val="18"/>
              </w:rPr>
              <w:t>同位素稀释高分辨气相色谱-高分辨质谱法</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w:t>
            </w:r>
            <w:r>
              <w:rPr>
                <w:rFonts w:hint="eastAsia" w:eastAsia="宋体" w:cs="Times New Roman"/>
                <w:spacing w:val="-10"/>
                <w:sz w:val="18"/>
                <w:szCs w:val="18"/>
                <w:lang w:val="en-US" w:eastAsia="zh-CN"/>
              </w:rPr>
              <w:t xml:space="preserve"> </w:t>
            </w:r>
            <w:r>
              <w:rPr>
                <w:rFonts w:ascii="Times New Roman" w:hAnsi="Times New Roman" w:eastAsia="宋体" w:cs="Times New Roman"/>
                <w:spacing w:val="-10"/>
                <w:sz w:val="18"/>
                <w:szCs w:val="18"/>
              </w:rPr>
              <w:t>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316"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938" w:type="pct"/>
            <w:vMerge w:val="continue"/>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p>
        </w:tc>
        <w:tc>
          <w:tcPr>
            <w:tcW w:w="3067"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环境二噁英类监测技术规范</w:t>
            </w:r>
          </w:p>
        </w:tc>
        <w:tc>
          <w:tcPr>
            <w:tcW w:w="676" w:type="pct"/>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val="0"/>
              <w:wordWrap/>
              <w:overflowPunct/>
              <w:topLinePunct w:val="0"/>
              <w:autoSpaceDE w:val="0"/>
              <w:autoSpaceDN w:val="0"/>
              <w:bidi w:val="0"/>
              <w:adjustRightInd w:val="0"/>
              <w:snapToGrid w:val="0"/>
              <w:spacing w:line="280" w:lineRule="exact"/>
              <w:ind w:left="0" w:leftChars="0"/>
              <w:jc w:val="center"/>
              <w:textAlignment w:val="baseline"/>
              <w:rPr>
                <w:rFonts w:ascii="Times New Roman" w:hAnsi="Times New Roman" w:eastAsia="宋体" w:cs="Times New Roman"/>
                <w:spacing w:val="-10"/>
                <w:sz w:val="18"/>
                <w:szCs w:val="18"/>
              </w:rPr>
            </w:pPr>
            <w:r>
              <w:rPr>
                <w:rFonts w:ascii="Times New Roman" w:hAnsi="Times New Roman" w:eastAsia="宋体" w:cs="Times New Roman"/>
                <w:spacing w:val="-10"/>
                <w:sz w:val="18"/>
                <w:szCs w:val="18"/>
              </w:rPr>
              <w:t>HJ 916</w:t>
            </w:r>
          </w:p>
        </w:tc>
      </w:tr>
    </w:tbl>
    <w:p>
      <w:pPr>
        <w:pStyle w:val="30"/>
        <w:spacing w:before="156" w:after="156"/>
        <w:rPr>
          <w:rFonts w:hint="eastAsia"/>
        </w:rPr>
      </w:pPr>
      <w:r>
        <w:rPr>
          <w:rFonts w:hint="eastAsia"/>
          <w:lang w:eastAsia="zh-CN"/>
        </w:rPr>
        <w:t>其他监测</w:t>
      </w:r>
    </w:p>
    <w:p>
      <w:pPr>
        <w:pStyle w:val="32"/>
        <w:spacing w:before="156" w:after="156"/>
        <w:rPr>
          <w:rFonts w:hint="default"/>
        </w:rPr>
      </w:pPr>
      <w:r>
        <w:rPr>
          <w:rFonts w:hint="default" w:ascii="Times New Roman" w:hAnsi="Times New Roman" w:eastAsia="宋体" w:cs="Times New Roman"/>
          <w:sz w:val="21"/>
          <w:szCs w:val="20"/>
          <w:lang w:val="en-US" w:eastAsia="zh-CN" w:bidi="ar-SA"/>
        </w:rPr>
        <w:t>热灼减率的监测应每周至少 1 次，样品的采集和制备方法应按照HJ/T 20执行，测试步骤参照HJ 1024执行。</w:t>
      </w:r>
    </w:p>
    <w:p>
      <w:pPr>
        <w:pStyle w:val="32"/>
        <w:spacing w:before="156" w:after="156"/>
        <w:rPr>
          <w:rFonts w:hint="default"/>
        </w:rPr>
      </w:pPr>
      <w:r>
        <w:rPr>
          <w:rFonts w:hint="default" w:ascii="Times New Roman" w:hAnsi="Times New Roman" w:eastAsia="宋体" w:cs="Times New Roman"/>
          <w:sz w:val="21"/>
          <w:szCs w:val="20"/>
          <w:lang w:val="en-US" w:eastAsia="zh-CN" w:bidi="ar-SA"/>
        </w:rPr>
        <w:t>焚</w:t>
      </w:r>
      <w:r>
        <w:rPr>
          <w:rFonts w:hint="eastAsia" w:ascii="Times New Roman" w:eastAsia="宋体" w:cs="Times New Roman"/>
          <w:sz w:val="21"/>
          <w:szCs w:val="20"/>
          <w:lang w:val="en-US" w:eastAsia="zh-CN" w:bidi="ar-SA"/>
        </w:rPr>
        <w:t>烧炉</w:t>
      </w:r>
      <w:r>
        <w:rPr>
          <w:rFonts w:hint="default" w:ascii="Times New Roman" w:hAnsi="Times New Roman" w:eastAsia="宋体" w:cs="Times New Roman"/>
          <w:sz w:val="21"/>
          <w:szCs w:val="20"/>
          <w:lang w:val="en-US" w:eastAsia="zh-CN" w:bidi="ar-SA"/>
        </w:rPr>
        <w:t>运行工况在线自动监测指标应至少包括炉膛内热电偶测量温度。</w:t>
      </w:r>
    </w:p>
    <w:p>
      <w:pPr>
        <w:pStyle w:val="32"/>
        <w:spacing w:before="156" w:after="156"/>
        <w:rPr>
          <w:rFonts w:hint="default" w:ascii="Times New Roman" w:hAnsi="Times New Roman" w:eastAsia="宋体" w:cs="Times New Roman"/>
          <w:sz w:val="21"/>
          <w:szCs w:val="20"/>
          <w:lang w:val="en-US" w:eastAsia="zh-CN" w:bidi="ar-SA"/>
        </w:rPr>
      </w:pPr>
      <w:r>
        <w:rPr>
          <w:rFonts w:hint="default" w:ascii="Times New Roman" w:hAnsi="Times New Roman" w:eastAsia="宋体" w:cs="Times New Roman"/>
          <w:sz w:val="21"/>
          <w:szCs w:val="20"/>
          <w:lang w:val="en-US" w:eastAsia="zh-CN" w:bidi="ar-SA"/>
        </w:rPr>
        <w:t>应确保正常工况下焚烧炉炉膛内热电偶测量温度的 5 分钟均值不低于 1100℃。</w:t>
      </w:r>
    </w:p>
    <w:p>
      <w:pPr>
        <w:pStyle w:val="27"/>
        <w:spacing w:before="312" w:after="312"/>
        <w:rPr>
          <w:rFonts w:hint="eastAsia"/>
        </w:rPr>
      </w:pPr>
      <w:bookmarkStart w:id="27" w:name="_Toc15901"/>
      <w:r>
        <w:rPr>
          <w:rFonts w:hint="eastAsia"/>
        </w:rPr>
        <w:t>实施与监督</w:t>
      </w:r>
      <w:bookmarkEnd w:id="27"/>
    </w:p>
    <w:p>
      <w:pPr>
        <w:pStyle w:val="30"/>
        <w:spacing w:before="156" w:after="156"/>
        <w:rPr>
          <w:rFonts w:hint="eastAsia"/>
        </w:rPr>
      </w:pPr>
      <w:r>
        <w:rPr>
          <w:rFonts w:hint="eastAsia" w:eastAsia="宋体"/>
          <w:sz w:val="21"/>
          <w:lang w:eastAsia="zh-CN"/>
        </w:rPr>
        <w:t>本标准</w:t>
      </w:r>
      <w:r>
        <w:rPr>
          <w:rFonts w:hint="eastAsia" w:eastAsia="宋体"/>
          <w:sz w:val="21"/>
        </w:rPr>
        <w:t>由区级以上生态环境主管部门负责监督实施。</w:t>
      </w:r>
    </w:p>
    <w:p>
      <w:pPr>
        <w:pStyle w:val="30"/>
        <w:spacing w:before="156" w:after="156"/>
        <w:rPr>
          <w:rFonts w:hint="eastAsia" w:eastAsia="宋体"/>
          <w:sz w:val="21"/>
        </w:rPr>
      </w:pPr>
      <w:r>
        <w:rPr>
          <w:rFonts w:hint="eastAsia" w:eastAsia="宋体"/>
          <w:sz w:val="21"/>
        </w:rPr>
        <w:t>除无法抗拒的灾害和其他应急情况下，危险废物焚烧设施均应遵守本标准的污染控制要求，并采取必要措施保证污染防治设施正常运行。</w:t>
      </w:r>
    </w:p>
    <w:p>
      <w:pPr>
        <w:pStyle w:val="30"/>
        <w:spacing w:before="156" w:after="156"/>
        <w:rPr>
          <w:rFonts w:hint="default" w:ascii="Times New Roman" w:hAnsi="Times New Roman" w:eastAsia="宋体" w:cs="Times New Roman"/>
          <w:sz w:val="21"/>
        </w:rPr>
      </w:pPr>
      <w:r>
        <w:rPr>
          <w:rFonts w:hint="default" w:ascii="Times New Roman" w:hAnsi="Times New Roman" w:eastAsia="宋体" w:cs="Times New Roman"/>
          <w:sz w:val="21"/>
          <w:highlight w:val="none"/>
        </w:rPr>
        <w:t>对于大气污染物，采用手工监测并按照监测规范要求测得的任意 1 小时均值浓度值、24小时均值浓度值、测定均值浓度值，可以作为判定排污行为是否符合排放标准以及实施相关生态环境保护管理措施的依据。</w:t>
      </w:r>
    </w:p>
    <w:p>
      <w:pPr>
        <w:pStyle w:val="30"/>
        <w:spacing w:before="156" w:after="156"/>
        <w:rPr>
          <w:rFonts w:hint="default" w:ascii="Times New Roman" w:hAnsi="Times New Roman" w:eastAsia="宋体" w:cs="Times New Roman"/>
          <w:sz w:val="21"/>
        </w:rPr>
      </w:pPr>
      <w:r>
        <w:rPr>
          <w:rFonts w:hint="default" w:ascii="Times New Roman" w:hAnsi="Times New Roman" w:eastAsia="宋体" w:cs="Times New Roman"/>
          <w:sz w:val="21"/>
        </w:rPr>
        <w:t xml:space="preserve">除 </w:t>
      </w:r>
      <w:r>
        <w:rPr>
          <w:rFonts w:hint="eastAsia" w:ascii="Times New Roman" w:eastAsia="宋体" w:cs="Times New Roman"/>
          <w:sz w:val="21"/>
          <w:lang w:val="en-US" w:eastAsia="zh-CN"/>
        </w:rPr>
        <w:t>4.2</w:t>
      </w:r>
      <w:r>
        <w:rPr>
          <w:rFonts w:hint="default" w:ascii="Times New Roman" w:hAnsi="Times New Roman" w:eastAsia="宋体" w:cs="Times New Roman"/>
          <w:sz w:val="21"/>
        </w:rPr>
        <w:t xml:space="preserve"> 规定的条件外，CEMS日均值数据可作为判定排污行为是否符合排放标准的依据；炉膛内热电偶测量温度未达到 </w:t>
      </w:r>
      <w:r>
        <w:rPr>
          <w:rFonts w:hint="eastAsia" w:ascii="Times New Roman" w:eastAsia="宋体" w:cs="Times New Roman"/>
          <w:sz w:val="21"/>
          <w:lang w:val="en-US" w:eastAsia="zh-CN"/>
        </w:rPr>
        <w:t>5.4.3</w:t>
      </w:r>
      <w:r>
        <w:rPr>
          <w:rFonts w:hint="default" w:ascii="Times New Roman" w:hAnsi="Times New Roman" w:eastAsia="宋体" w:cs="Times New Roman"/>
          <w:sz w:val="21"/>
        </w:rPr>
        <w:t xml:space="preserve"> 要求，且一个自然日内累计超过 5 次的，参照《生活垃圾焚烧发电厂自动监测数据应用管理规定》等相关规定判定为“未按照国家有关规定采取有利于减少持久性有机污染物排放措施”，并依照相关法律法规予以处理。</w:t>
      </w:r>
    </w:p>
    <w:p>
      <w:pPr>
        <w:pStyle w:val="16"/>
        <w:ind w:firstLine="0" w:firstLineChars="0"/>
        <w:jc w:val="center"/>
        <w:rPr>
          <w:color w:val="FF0000"/>
        </w:rPr>
      </w:pPr>
      <w:bookmarkStart w:id="28" w:name="BookMark8"/>
      <w:r>
        <w:rPr>
          <w:color w:val="FF0000"/>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7"/>
                    <a:stretch>
                      <a:fillRect/>
                    </a:stretch>
                  </pic:blipFill>
                  <pic:spPr>
                    <a:xfrm>
                      <a:off x="0" y="0"/>
                      <a:ext cx="1485900" cy="317500"/>
                    </a:xfrm>
                    <a:prstGeom prst="rect">
                      <a:avLst/>
                    </a:prstGeom>
                  </pic:spPr>
                </pic:pic>
              </a:graphicData>
            </a:graphic>
          </wp:inline>
        </w:drawing>
      </w:r>
      <w:bookmarkEnd w:id="28"/>
    </w:p>
    <w:p>
      <w:pPr>
        <w:pStyle w:val="16"/>
        <w:rPr>
          <w:rFonts w:hint="default"/>
        </w:rPr>
      </w:pPr>
    </w:p>
    <w:p>
      <w:pPr>
        <w:rPr>
          <w:rFonts w:hint="eastAsia" w:eastAsia="宋体"/>
          <w:sz w:val="21"/>
        </w:rPr>
      </w:pPr>
    </w:p>
    <w:p>
      <w:pPr>
        <w:rPr>
          <w:rFonts w:ascii="宋体" w:hAnsi="宋体" w:eastAsia="宋体" w:cs="宋体"/>
          <w:sz w:val="21"/>
          <w:szCs w:val="21"/>
        </w:rPr>
      </w:pPr>
      <w:r>
        <w:rPr>
          <w:rFonts w:ascii="宋体" w:hAnsi="宋体" w:eastAsia="宋体" w:cs="宋体"/>
          <w:sz w:val="21"/>
          <w:szCs w:val="21"/>
        </w:rPr>
        <w:br w:type="page"/>
      </w:r>
    </w:p>
    <w:p>
      <w:pPr>
        <w:spacing w:before="9"/>
        <w:jc w:val="center"/>
        <w:rPr>
          <w:rFonts w:hint="eastAsia" w:ascii="黑体" w:hAnsi="黑体" w:eastAsia="黑体" w:cs="黑体"/>
          <w:sz w:val="24"/>
        </w:rPr>
      </w:pPr>
      <w:r>
        <w:rPr>
          <w:rFonts w:hint="eastAsia" w:ascii="黑体" w:hAnsi="黑体" w:eastAsia="黑体" w:cs="黑体"/>
          <w:sz w:val="24"/>
        </w:rPr>
        <w:t>附录A</w:t>
      </w:r>
    </w:p>
    <w:p>
      <w:pPr>
        <w:spacing w:before="9"/>
        <w:jc w:val="center"/>
        <w:rPr>
          <w:rFonts w:hint="eastAsia" w:ascii="黑体" w:hAnsi="黑体" w:eastAsia="黑体" w:cs="黑体"/>
          <w:sz w:val="24"/>
        </w:rPr>
      </w:pPr>
      <w:r>
        <w:rPr>
          <w:rFonts w:hint="eastAsia" w:ascii="黑体" w:hAnsi="黑体" w:eastAsia="黑体" w:cs="黑体"/>
          <w:sz w:val="24"/>
        </w:rPr>
        <w:t>(规范性附录)</w:t>
      </w:r>
    </w:p>
    <w:p>
      <w:pPr>
        <w:spacing w:before="9"/>
        <w:jc w:val="center"/>
        <w:rPr>
          <w:rFonts w:hint="eastAsia" w:ascii="黑体" w:hAnsi="黑体" w:eastAsia="黑体" w:cs="黑体"/>
          <w:sz w:val="24"/>
        </w:rPr>
      </w:pPr>
    </w:p>
    <w:p>
      <w:pPr>
        <w:jc w:val="center"/>
        <w:rPr>
          <w:rFonts w:hint="eastAsia" w:ascii="黑体" w:hAnsi="黑体" w:eastAsia="黑体" w:cs="仿宋_GB2312"/>
          <w:b/>
          <w:bCs/>
          <w:szCs w:val="21"/>
        </w:rPr>
      </w:pPr>
      <w:r>
        <w:rPr>
          <w:rFonts w:hint="eastAsia" w:ascii="黑体" w:hAnsi="黑体" w:eastAsia="黑体" w:cs="仿宋_GB2312"/>
          <w:b/>
          <w:bCs/>
          <w:szCs w:val="21"/>
        </w:rPr>
        <w:t>PCDDS/PCDFS 的毒性当量因子</w:t>
      </w:r>
    </w:p>
    <w:p>
      <w:pPr>
        <w:jc w:val="center"/>
        <w:rPr>
          <w:rFonts w:hint="eastAsia" w:ascii="黑体" w:hAnsi="黑体" w:eastAsia="黑体" w:cs="仿宋_GB2312"/>
          <w:b/>
          <w:bCs/>
          <w:szCs w:val="21"/>
        </w:rPr>
      </w:pPr>
    </w:p>
    <w:p>
      <w:pPr>
        <w:autoSpaceDE w:val="0"/>
        <w:autoSpaceDN w:val="0"/>
        <w:spacing w:before="132"/>
        <w:ind w:left="0" w:firstLine="420" w:firstLineChars="200"/>
        <w:jc w:val="left"/>
        <w:rPr>
          <w:rFonts w:ascii="宋体" w:hAnsi="宋体" w:cs="宋体"/>
          <w:kern w:val="0"/>
          <w:szCs w:val="21"/>
        </w:rPr>
      </w:pPr>
      <w:r>
        <w:rPr>
          <w:rFonts w:hint="eastAsia" w:ascii="宋体" w:hAnsi="宋体" w:cs="宋体"/>
          <w:kern w:val="0"/>
          <w:szCs w:val="21"/>
        </w:rPr>
        <w:t>表</w:t>
      </w:r>
      <w:r>
        <w:rPr>
          <w:rFonts w:hAnsi="宋体" w:eastAsia="Times New Roman" w:cs="宋体"/>
          <w:kern w:val="0"/>
          <w:position w:val="1"/>
          <w:szCs w:val="21"/>
        </w:rPr>
        <w:t>A</w:t>
      </w:r>
      <w:r>
        <w:rPr>
          <w:rFonts w:hint="eastAsia" w:ascii="宋体" w:hAnsi="宋体" w:cs="宋体"/>
          <w:kern w:val="0"/>
          <w:szCs w:val="21"/>
        </w:rPr>
        <w:t>给出了不同二噁英类同类物（</w:t>
      </w:r>
      <w:r>
        <w:rPr>
          <w:rFonts w:hAnsi="宋体" w:eastAsia="Times New Roman" w:cs="宋体"/>
          <w:kern w:val="0"/>
          <w:position w:val="1"/>
          <w:szCs w:val="21"/>
        </w:rPr>
        <w:t>PCDD</w:t>
      </w:r>
      <w:r>
        <w:rPr>
          <w:rFonts w:hAnsi="宋体" w:eastAsia="Times New Roman" w:cs="宋体"/>
          <w:kern w:val="0"/>
          <w:position w:val="1"/>
          <w:szCs w:val="21"/>
          <w:vertAlign w:val="subscript"/>
        </w:rPr>
        <w:t>S</w:t>
      </w:r>
      <w:r>
        <w:rPr>
          <w:rFonts w:hAnsi="宋体" w:eastAsia="Times New Roman" w:cs="宋体"/>
          <w:kern w:val="0"/>
          <w:position w:val="1"/>
          <w:szCs w:val="21"/>
        </w:rPr>
        <w:t>/PCDF</w:t>
      </w:r>
      <w:r>
        <w:rPr>
          <w:rFonts w:hAnsi="宋体" w:eastAsia="Times New Roman" w:cs="宋体"/>
          <w:kern w:val="0"/>
          <w:position w:val="1"/>
          <w:szCs w:val="21"/>
          <w:vertAlign w:val="subscript"/>
        </w:rPr>
        <w:t>S</w:t>
      </w:r>
      <w:r>
        <w:rPr>
          <w:rFonts w:hint="eastAsia" w:ascii="宋体" w:hAnsi="宋体" w:cs="宋体"/>
          <w:kern w:val="0"/>
          <w:szCs w:val="21"/>
        </w:rPr>
        <w:t>）的毒性当量因子。</w:t>
      </w:r>
    </w:p>
    <w:p>
      <w:pPr>
        <w:autoSpaceDE w:val="0"/>
        <w:autoSpaceDN w:val="0"/>
        <w:spacing w:before="156" w:beforeLines="50" w:after="156" w:afterLines="50"/>
        <w:ind w:left="227"/>
        <w:jc w:val="center"/>
        <w:rPr>
          <w:rFonts w:ascii="黑体" w:hAnsi="宋体" w:eastAsia="黑体" w:cs="宋体"/>
          <w:kern w:val="0"/>
          <w:szCs w:val="21"/>
        </w:rPr>
      </w:pPr>
      <w:r>
        <w:rPr>
          <w:rFonts w:hint="eastAsia" w:ascii="黑体" w:hAnsi="宋体" w:eastAsia="黑体" w:cs="宋体"/>
          <w:kern w:val="0"/>
          <w:szCs w:val="21"/>
        </w:rPr>
        <w:t xml:space="preserve">表 </w:t>
      </w:r>
      <w:r>
        <w:rPr>
          <w:rFonts w:hAnsi="宋体" w:eastAsia="Times New Roman" w:cs="宋体"/>
          <w:kern w:val="0"/>
          <w:szCs w:val="21"/>
        </w:rPr>
        <w:t>A PCDD</w:t>
      </w:r>
      <w:r>
        <w:rPr>
          <w:rFonts w:hAnsi="宋体" w:eastAsia="Times New Roman" w:cs="宋体"/>
          <w:kern w:val="0"/>
          <w:szCs w:val="21"/>
          <w:vertAlign w:val="subscript"/>
        </w:rPr>
        <w:t>S</w:t>
      </w:r>
      <w:r>
        <w:rPr>
          <w:rFonts w:hAnsi="宋体" w:eastAsia="Times New Roman" w:cs="宋体"/>
          <w:kern w:val="0"/>
          <w:szCs w:val="21"/>
        </w:rPr>
        <w:t>/PCDF</w:t>
      </w:r>
      <w:r>
        <w:rPr>
          <w:rFonts w:hAnsi="宋体" w:eastAsia="Times New Roman" w:cs="宋体"/>
          <w:kern w:val="0"/>
          <w:szCs w:val="21"/>
          <w:vertAlign w:val="subscript"/>
        </w:rPr>
        <w:t>S</w:t>
      </w:r>
      <w:r>
        <w:rPr>
          <w:rFonts w:hAnsi="宋体" w:eastAsia="Times New Roman" w:cs="宋体"/>
          <w:kern w:val="0"/>
          <w:szCs w:val="21"/>
        </w:rPr>
        <w:t xml:space="preserve"> </w:t>
      </w:r>
      <w:r>
        <w:rPr>
          <w:rFonts w:hint="eastAsia" w:ascii="黑体" w:hAnsi="宋体" w:eastAsia="黑体" w:cs="宋体"/>
          <w:kern w:val="0"/>
          <w:szCs w:val="21"/>
        </w:rPr>
        <w:t>的毒性当量因子</w:t>
      </w:r>
    </w:p>
    <w:tbl>
      <w:tblPr>
        <w:tblStyle w:val="7"/>
        <w:tblW w:w="500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9"/>
        <w:gridCol w:w="2451"/>
        <w:gridCol w:w="1836"/>
        <w:gridCol w:w="1836"/>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969" w:type="pct"/>
            <w:gridSpan w:val="2"/>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eastAsia="宋体"/>
                <w:sz w:val="18"/>
                <w:szCs w:val="18"/>
                <w:lang w:eastAsia="zh-CN"/>
              </w:rPr>
            </w:pPr>
            <w:r>
              <w:rPr>
                <w:rFonts w:hint="default"/>
                <w:sz w:val="18"/>
                <w:szCs w:val="18"/>
                <w:lang w:eastAsia="zh-CN"/>
              </w:rPr>
              <w:t>同类物</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sz w:val="18"/>
                <w:szCs w:val="18"/>
                <w:lang w:eastAsia="zh-CN"/>
              </w:rPr>
            </w:pPr>
            <w:r>
              <w:rPr>
                <w:rFonts w:ascii="Times New Roman"/>
                <w:sz w:val="18"/>
                <w:szCs w:val="18"/>
                <w:lang w:eastAsia="zh-CN"/>
              </w:rPr>
              <w:t>WHO-TEF</w:t>
            </w:r>
            <w:r>
              <w:rPr>
                <w:rFonts w:hint="default"/>
                <w:sz w:val="18"/>
                <w:szCs w:val="18"/>
                <w:lang w:eastAsia="zh-CN"/>
              </w:rPr>
              <w:t>（</w:t>
            </w:r>
            <w:r>
              <w:rPr>
                <w:rFonts w:ascii="Times New Roman"/>
                <w:sz w:val="18"/>
                <w:szCs w:val="18"/>
                <w:lang w:eastAsia="zh-CN"/>
              </w:rPr>
              <w:t>1998</w:t>
            </w:r>
            <w:r>
              <w:rPr>
                <w:rFonts w:hint="default"/>
                <w:sz w:val="18"/>
                <w:szCs w:val="18"/>
                <w:lang w:eastAsia="zh-CN"/>
              </w:rPr>
              <w:t>）</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sz w:val="18"/>
                <w:szCs w:val="18"/>
                <w:lang w:eastAsia="zh-CN"/>
              </w:rPr>
            </w:pPr>
            <w:r>
              <w:rPr>
                <w:rFonts w:ascii="Times New Roman"/>
                <w:sz w:val="18"/>
                <w:szCs w:val="18"/>
                <w:lang w:eastAsia="zh-CN"/>
              </w:rPr>
              <w:t>WHO-TEF</w:t>
            </w:r>
            <w:r>
              <w:rPr>
                <w:rFonts w:hint="default"/>
                <w:sz w:val="18"/>
                <w:szCs w:val="18"/>
                <w:lang w:eastAsia="zh-CN"/>
              </w:rPr>
              <w:t>（</w:t>
            </w:r>
            <w:r>
              <w:rPr>
                <w:rFonts w:ascii="Times New Roman"/>
                <w:sz w:val="18"/>
                <w:szCs w:val="18"/>
                <w:lang w:eastAsia="zh-CN"/>
              </w:rPr>
              <w:t>2005</w:t>
            </w:r>
            <w:r>
              <w:rPr>
                <w:rFonts w:hint="default"/>
                <w:sz w:val="18"/>
                <w:szCs w:val="18"/>
                <w:lang w:eastAsia="zh-CN"/>
              </w:rPr>
              <w:t>）</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I-TEF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1" w:type="pct"/>
            <w:vMerge w:val="restart"/>
            <w:tcBorders>
              <w:top w:val="single" w:color="000000" w:sz="4" w:space="0"/>
              <w:left w:val="single" w:color="000000" w:sz="4" w:space="0"/>
              <w:right w:val="single" w:color="000000" w:sz="4" w:space="0"/>
            </w:tcBorders>
            <w:noWrap w:val="0"/>
            <w:vAlign w:val="center"/>
          </w:tcPr>
          <w:p>
            <w:pPr>
              <w:autoSpaceDE/>
              <w:autoSpaceDN/>
              <w:jc w:val="center"/>
              <w:rPr>
                <w:rFonts w:ascii="Times New Roman"/>
                <w:sz w:val="18"/>
                <w:szCs w:val="18"/>
                <w:lang w:eastAsia="zh-CN"/>
              </w:rPr>
            </w:pPr>
            <w:r>
              <w:rPr>
                <w:rFonts w:ascii="Times New Roman"/>
                <w:sz w:val="18"/>
                <w:szCs w:val="18"/>
                <w:lang w:eastAsia="zh-CN"/>
              </w:rPr>
              <w:t>PCDD</w:t>
            </w:r>
            <w:r>
              <w:rPr>
                <w:rFonts w:ascii="Times New Roman"/>
                <w:sz w:val="18"/>
                <w:szCs w:val="18"/>
                <w:vertAlign w:val="subscript"/>
                <w:lang w:eastAsia="zh-CN"/>
              </w:rPr>
              <w:t>S</w:t>
            </w:r>
            <w:r>
              <w:rPr>
                <w:sz w:val="18"/>
                <w:szCs w:val="18"/>
                <w:vertAlign w:val="superscript"/>
              </w:rPr>
              <w:t>(a)</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2,3,7,8-T</w:t>
            </w:r>
            <w:r>
              <w:rPr>
                <w:rFonts w:ascii="Times New Roman"/>
                <w:sz w:val="18"/>
                <w:szCs w:val="18"/>
                <w:vertAlign w:val="baseline"/>
                <w:lang w:eastAsia="zh-CN"/>
              </w:rPr>
              <w:t>4</w:t>
            </w:r>
            <w:r>
              <w:rPr>
                <w:rFonts w:ascii="Times New Roman"/>
                <w:sz w:val="18"/>
                <w:szCs w:val="18"/>
                <w:lang w:eastAsia="zh-CN"/>
              </w:rPr>
              <w:t>CDD</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1,2,3,7,8-P</w:t>
            </w:r>
            <w:r>
              <w:rPr>
                <w:rFonts w:ascii="Times New Roman"/>
                <w:sz w:val="18"/>
                <w:szCs w:val="18"/>
                <w:vertAlign w:val="baseline"/>
                <w:lang w:eastAsia="zh-CN"/>
              </w:rPr>
              <w:t>5</w:t>
            </w:r>
            <w:r>
              <w:rPr>
                <w:rFonts w:ascii="Times New Roman"/>
                <w:sz w:val="18"/>
                <w:szCs w:val="18"/>
                <w:lang w:eastAsia="zh-CN"/>
              </w:rPr>
              <w:t>CDD</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1,2,3,4,7,8-H</w:t>
            </w:r>
            <w:r>
              <w:rPr>
                <w:rFonts w:ascii="Times New Roman"/>
                <w:sz w:val="18"/>
                <w:szCs w:val="18"/>
                <w:vertAlign w:val="baseline"/>
                <w:lang w:eastAsia="zh-CN"/>
              </w:rPr>
              <w:t>6</w:t>
            </w:r>
            <w:r>
              <w:rPr>
                <w:rFonts w:ascii="Times New Roman"/>
                <w:sz w:val="18"/>
                <w:szCs w:val="18"/>
                <w:lang w:eastAsia="zh-CN"/>
              </w:rPr>
              <w:t>CDD</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21" w:type="pct"/>
            <w:vMerge w:val="continue"/>
            <w:tcBorders>
              <w:left w:val="single" w:color="000000" w:sz="4" w:space="0"/>
              <w:right w:val="single" w:color="000000" w:sz="4" w:space="0"/>
            </w:tcBorders>
            <w:noWrap w:val="0"/>
            <w:vAlign w:val="center"/>
          </w:tcPr>
          <w:p>
            <w:pPr>
              <w:autoSpaceDE/>
              <w:autoSpaceDN/>
              <w:spacing w:line="240" w:lineRule="auto"/>
              <w:ind w:left="0"/>
              <w:jc w:val="center"/>
              <w:rPr>
                <w:rFonts w:ascii="Times New Roman"/>
                <w:sz w:val="18"/>
                <w:szCs w:val="18"/>
                <w:lang w:eastAsia="zh-CN"/>
              </w:rPr>
            </w:pPr>
          </w:p>
        </w:tc>
        <w:tc>
          <w:tcPr>
            <w:tcW w:w="1347" w:type="pct"/>
            <w:tcBorders>
              <w:top w:val="nil"/>
              <w:left w:val="single" w:color="000000" w:sz="4" w:space="0"/>
              <w:bottom w:val="nil"/>
              <w:right w:val="single" w:color="000000" w:sz="4" w:space="0"/>
            </w:tcBorders>
            <w:noWrap w:val="0"/>
            <w:vAlign w:val="center"/>
          </w:tcPr>
          <w:p>
            <w:pPr>
              <w:autoSpaceDE/>
              <w:autoSpaceDN/>
              <w:spacing w:before="0" w:line="240" w:lineRule="auto"/>
              <w:ind w:left="0" w:right="0"/>
              <w:jc w:val="center"/>
              <w:rPr>
                <w:rFonts w:ascii="Times New Roman"/>
                <w:sz w:val="18"/>
                <w:szCs w:val="18"/>
                <w:lang w:eastAsia="zh-CN"/>
              </w:rPr>
            </w:pPr>
            <w:r>
              <w:rPr>
                <w:rFonts w:ascii="Times New Roman"/>
                <w:sz w:val="18"/>
                <w:szCs w:val="18"/>
                <w:lang w:eastAsia="zh-CN"/>
              </w:rPr>
              <w:t>1,2,3,6,7,8-H</w:t>
            </w:r>
            <w:r>
              <w:rPr>
                <w:rFonts w:ascii="Times New Roman"/>
                <w:sz w:val="18"/>
                <w:szCs w:val="18"/>
                <w:vertAlign w:val="baseline"/>
                <w:lang w:eastAsia="zh-CN"/>
              </w:rPr>
              <w:t>6</w:t>
            </w:r>
            <w:r>
              <w:rPr>
                <w:rFonts w:ascii="Times New Roman"/>
                <w:sz w:val="18"/>
                <w:szCs w:val="18"/>
                <w:lang w:eastAsia="zh-CN"/>
              </w:rPr>
              <w:t>CDD</w:t>
            </w:r>
          </w:p>
        </w:tc>
        <w:tc>
          <w:tcPr>
            <w:tcW w:w="1010" w:type="pct"/>
            <w:tcBorders>
              <w:top w:val="nil"/>
              <w:left w:val="single" w:color="000000" w:sz="4" w:space="0"/>
              <w:bottom w:val="nil"/>
              <w:right w:val="single" w:color="000000" w:sz="4" w:space="0"/>
            </w:tcBorders>
            <w:noWrap w:val="0"/>
            <w:vAlign w:val="center"/>
          </w:tcPr>
          <w:p>
            <w:pPr>
              <w:autoSpaceDE/>
              <w:autoSpaceDN/>
              <w:spacing w:before="0" w:line="240" w:lineRule="auto"/>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line="240" w:lineRule="auto"/>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line="240" w:lineRule="auto"/>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21" w:type="pct"/>
            <w:vMerge w:val="continue"/>
            <w:tcBorders>
              <w:left w:val="single" w:color="000000" w:sz="4" w:space="0"/>
              <w:right w:val="single" w:color="000000" w:sz="4" w:space="0"/>
            </w:tcBorders>
            <w:noWrap w:val="0"/>
            <w:vAlign w:val="center"/>
          </w:tcPr>
          <w:p>
            <w:pPr>
              <w:autoSpaceDE/>
              <w:autoSpaceDN/>
              <w:spacing w:line="240" w:lineRule="auto"/>
              <w:ind w:left="0"/>
              <w:jc w:val="center"/>
              <w:rPr>
                <w:rFonts w:ascii="Times New Roman"/>
                <w:sz w:val="18"/>
                <w:szCs w:val="18"/>
                <w:lang w:eastAsia="zh-CN"/>
              </w:rPr>
            </w:pPr>
          </w:p>
        </w:tc>
        <w:tc>
          <w:tcPr>
            <w:tcW w:w="1347"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1,2,3,7,8,9-H</w:t>
            </w:r>
            <w:r>
              <w:rPr>
                <w:rFonts w:ascii="Times New Roman"/>
                <w:sz w:val="18"/>
                <w:szCs w:val="18"/>
                <w:vertAlign w:val="baseline"/>
                <w:lang w:eastAsia="zh-CN"/>
              </w:rPr>
              <w:t>6</w:t>
            </w:r>
            <w:r>
              <w:rPr>
                <w:rFonts w:ascii="Times New Roman"/>
                <w:sz w:val="18"/>
                <w:szCs w:val="18"/>
                <w:lang w:eastAsia="zh-CN"/>
              </w:rPr>
              <w:t>CDD</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1,2,3,4,6,7,8-H</w:t>
            </w:r>
            <w:r>
              <w:rPr>
                <w:rFonts w:ascii="Times New Roman"/>
                <w:sz w:val="18"/>
                <w:szCs w:val="18"/>
                <w:vertAlign w:val="baseline"/>
                <w:lang w:eastAsia="zh-CN"/>
              </w:rPr>
              <w:t>7</w:t>
            </w:r>
            <w:r>
              <w:rPr>
                <w:rFonts w:ascii="Times New Roman"/>
                <w:sz w:val="18"/>
                <w:szCs w:val="18"/>
                <w:lang w:eastAsia="zh-CN"/>
              </w:rPr>
              <w:t>CDD</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OCDD</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0.0003</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1" w:type="pct"/>
            <w:vMerge w:val="continue"/>
            <w:tcBorders>
              <w:left w:val="single" w:color="000000" w:sz="4" w:space="0"/>
              <w:bottom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hint="default"/>
                <w:sz w:val="18"/>
                <w:szCs w:val="18"/>
                <w:lang w:eastAsia="zh-CN"/>
              </w:rPr>
              <w:t>其它</w:t>
            </w:r>
            <w:r>
              <w:rPr>
                <w:rFonts w:ascii="Times New Roman"/>
                <w:sz w:val="18"/>
                <w:szCs w:val="18"/>
                <w:lang w:eastAsia="zh-CN"/>
              </w:rPr>
              <w:t>PCDD</w:t>
            </w:r>
            <w:r>
              <w:rPr>
                <w:rFonts w:ascii="Times New Roman"/>
                <w:sz w:val="18"/>
                <w:szCs w:val="18"/>
                <w:vertAlign w:val="baseline"/>
                <w:lang w:eastAsia="zh-CN"/>
              </w:rPr>
              <w:t>S</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1" w:type="pct"/>
            <w:vMerge w:val="restart"/>
            <w:tcBorders>
              <w:top w:val="single" w:color="000000" w:sz="4" w:space="0"/>
              <w:left w:val="single" w:color="000000" w:sz="4" w:space="0"/>
              <w:right w:val="single" w:color="000000" w:sz="4" w:space="0"/>
            </w:tcBorders>
            <w:noWrap w:val="0"/>
            <w:vAlign w:val="center"/>
          </w:tcPr>
          <w:p>
            <w:pPr>
              <w:jc w:val="center"/>
              <w:rPr>
                <w:sz w:val="18"/>
                <w:szCs w:val="18"/>
              </w:rPr>
            </w:pPr>
            <w:r>
              <w:rPr>
                <w:rFonts w:ascii="Times New Roman"/>
                <w:sz w:val="18"/>
                <w:szCs w:val="18"/>
                <w:lang w:eastAsia="zh-CN"/>
              </w:rPr>
              <w:t>PCDF</w:t>
            </w:r>
            <w:r>
              <w:rPr>
                <w:rFonts w:ascii="Times New Roman"/>
                <w:sz w:val="18"/>
                <w:szCs w:val="18"/>
                <w:vertAlign w:val="subscript"/>
                <w:lang w:eastAsia="zh-CN"/>
              </w:rPr>
              <w:t>S</w:t>
            </w:r>
            <w:r>
              <w:rPr>
                <w:sz w:val="18"/>
                <w:szCs w:val="18"/>
                <w:vertAlign w:val="superscript"/>
              </w:rPr>
              <w:t>(b)</w:t>
            </w:r>
          </w:p>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2,3,7,8-T</w:t>
            </w:r>
            <w:r>
              <w:rPr>
                <w:rFonts w:ascii="Times New Roman"/>
                <w:sz w:val="18"/>
                <w:szCs w:val="18"/>
                <w:vertAlign w:val="baseline"/>
                <w:lang w:eastAsia="zh-CN"/>
              </w:rPr>
              <w:t>4</w:t>
            </w:r>
            <w:r>
              <w:rPr>
                <w:rFonts w:ascii="Times New Roman"/>
                <w:sz w:val="18"/>
                <w:szCs w:val="18"/>
                <w:lang w:eastAsia="zh-CN"/>
              </w:rPr>
              <w:t>CDF</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1,2,3,7,8-P</w:t>
            </w:r>
            <w:r>
              <w:rPr>
                <w:rFonts w:ascii="Times New Roman"/>
                <w:sz w:val="18"/>
                <w:szCs w:val="18"/>
                <w:vertAlign w:val="baseline"/>
                <w:lang w:eastAsia="zh-CN"/>
              </w:rPr>
              <w:t>5</w:t>
            </w:r>
            <w:r>
              <w:rPr>
                <w:rFonts w:ascii="Times New Roman"/>
                <w:sz w:val="18"/>
                <w:szCs w:val="18"/>
                <w:lang w:eastAsia="zh-CN"/>
              </w:rPr>
              <w:t>CDF</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0.05</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0.03</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2,3,4,7,8-P</w:t>
            </w:r>
            <w:r>
              <w:rPr>
                <w:rFonts w:ascii="Times New Roman"/>
                <w:sz w:val="18"/>
                <w:szCs w:val="18"/>
                <w:vertAlign w:val="baseline"/>
                <w:lang w:eastAsia="zh-CN"/>
              </w:rPr>
              <w:t>5</w:t>
            </w:r>
            <w:r>
              <w:rPr>
                <w:rFonts w:ascii="Times New Roman"/>
                <w:sz w:val="18"/>
                <w:szCs w:val="18"/>
                <w:lang w:eastAsia="zh-CN"/>
              </w:rPr>
              <w:t>CDF</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0.5</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0.3</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1,2,3,4,7,8-H</w:t>
            </w:r>
            <w:r>
              <w:rPr>
                <w:rFonts w:ascii="Times New Roman"/>
                <w:sz w:val="18"/>
                <w:szCs w:val="18"/>
                <w:vertAlign w:val="baseline"/>
                <w:lang w:eastAsia="zh-CN"/>
              </w:rPr>
              <w:t>6</w:t>
            </w:r>
            <w:r>
              <w:rPr>
                <w:rFonts w:ascii="Times New Roman"/>
                <w:sz w:val="18"/>
                <w:szCs w:val="18"/>
                <w:lang w:eastAsia="zh-CN"/>
              </w:rPr>
              <w:t>CDF</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1,2,3,6,7,8-H</w:t>
            </w:r>
            <w:r>
              <w:rPr>
                <w:rFonts w:ascii="Times New Roman"/>
                <w:sz w:val="18"/>
                <w:szCs w:val="18"/>
                <w:vertAlign w:val="baseline"/>
                <w:lang w:eastAsia="zh-CN"/>
              </w:rPr>
              <w:t>6</w:t>
            </w:r>
            <w:r>
              <w:rPr>
                <w:rFonts w:ascii="Times New Roman"/>
                <w:sz w:val="18"/>
                <w:szCs w:val="18"/>
                <w:lang w:eastAsia="zh-CN"/>
              </w:rPr>
              <w:t>CDF</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21" w:type="pct"/>
            <w:vMerge w:val="continue"/>
            <w:tcBorders>
              <w:left w:val="single" w:color="000000" w:sz="4" w:space="0"/>
              <w:right w:val="single" w:color="000000" w:sz="4" w:space="0"/>
            </w:tcBorders>
            <w:noWrap w:val="0"/>
            <w:vAlign w:val="center"/>
          </w:tcPr>
          <w:p>
            <w:pPr>
              <w:autoSpaceDE/>
              <w:autoSpaceDN/>
              <w:spacing w:line="240" w:lineRule="auto"/>
              <w:ind w:left="0"/>
              <w:jc w:val="center"/>
              <w:rPr>
                <w:rFonts w:ascii="Times New Roman"/>
                <w:sz w:val="18"/>
                <w:szCs w:val="18"/>
                <w:lang w:eastAsia="zh-CN"/>
              </w:rPr>
            </w:pPr>
          </w:p>
        </w:tc>
        <w:tc>
          <w:tcPr>
            <w:tcW w:w="1347"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1,2,3,7,8,9-H</w:t>
            </w:r>
            <w:r>
              <w:rPr>
                <w:rFonts w:ascii="Times New Roman"/>
                <w:sz w:val="18"/>
                <w:szCs w:val="18"/>
                <w:vertAlign w:val="baseline"/>
                <w:lang w:eastAsia="zh-CN"/>
              </w:rPr>
              <w:t>6</w:t>
            </w:r>
            <w:r>
              <w:rPr>
                <w:rFonts w:ascii="Times New Roman"/>
                <w:sz w:val="18"/>
                <w:szCs w:val="18"/>
                <w:lang w:eastAsia="zh-CN"/>
              </w:rPr>
              <w:t>CDF</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2,3,4,6,7,8-H</w:t>
            </w:r>
            <w:r>
              <w:rPr>
                <w:rFonts w:ascii="Times New Roman"/>
                <w:sz w:val="18"/>
                <w:szCs w:val="18"/>
                <w:vertAlign w:val="baseline"/>
                <w:lang w:eastAsia="zh-CN"/>
              </w:rPr>
              <w:t>6</w:t>
            </w:r>
            <w:r>
              <w:rPr>
                <w:rFonts w:ascii="Times New Roman"/>
                <w:sz w:val="18"/>
                <w:szCs w:val="18"/>
                <w:lang w:eastAsia="zh-CN"/>
              </w:rPr>
              <w:t>CDF</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1,2,3,4,6,7,8-H</w:t>
            </w:r>
            <w:r>
              <w:rPr>
                <w:rFonts w:ascii="Times New Roman"/>
                <w:sz w:val="18"/>
                <w:szCs w:val="18"/>
                <w:vertAlign w:val="baseline"/>
                <w:lang w:eastAsia="zh-CN"/>
              </w:rPr>
              <w:t>7</w:t>
            </w:r>
            <w:r>
              <w:rPr>
                <w:rFonts w:ascii="Times New Roman"/>
                <w:sz w:val="18"/>
                <w:szCs w:val="18"/>
                <w:lang w:eastAsia="zh-CN"/>
              </w:rPr>
              <w:t>CDF</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single" w:color="000000" w:sz="4" w:space="0"/>
              <w:left w:val="single" w:color="000000" w:sz="4" w:space="0"/>
              <w:bottom w:val="nil"/>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1,2,3,4,7,8,9-H</w:t>
            </w:r>
            <w:r>
              <w:rPr>
                <w:rFonts w:ascii="Times New Roman"/>
                <w:sz w:val="18"/>
                <w:szCs w:val="18"/>
                <w:vertAlign w:val="baseline"/>
                <w:lang w:eastAsia="zh-CN"/>
              </w:rPr>
              <w:t>7</w:t>
            </w:r>
            <w:r>
              <w:rPr>
                <w:rFonts w:ascii="Times New Roman"/>
                <w:sz w:val="18"/>
                <w:szCs w:val="18"/>
                <w:lang w:eastAsia="zh-CN"/>
              </w:rPr>
              <w:t>CDF</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c>
          <w:tcPr>
            <w:tcW w:w="1010" w:type="pct"/>
            <w:tcBorders>
              <w:top w:val="nil"/>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1" w:type="pct"/>
            <w:vMerge w:val="continue"/>
            <w:tcBorders>
              <w:left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OCDF</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0.0001</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0.0003</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ascii="Times New Roman"/>
                <w:sz w:val="18"/>
                <w:szCs w:val="18"/>
                <w:lang w:eastAsia="zh-CN"/>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621" w:type="pct"/>
            <w:vMerge w:val="continue"/>
            <w:tcBorders>
              <w:left w:val="single" w:color="000000" w:sz="4" w:space="0"/>
              <w:bottom w:val="single" w:color="000000" w:sz="4" w:space="0"/>
              <w:right w:val="single" w:color="000000" w:sz="4" w:space="0"/>
            </w:tcBorders>
            <w:noWrap w:val="0"/>
            <w:vAlign w:val="center"/>
          </w:tcPr>
          <w:p>
            <w:pPr>
              <w:autoSpaceDE/>
              <w:autoSpaceDN/>
              <w:jc w:val="center"/>
              <w:rPr>
                <w:rFonts w:ascii="Times New Roman"/>
                <w:sz w:val="18"/>
                <w:szCs w:val="18"/>
                <w:lang w:eastAsia="zh-CN"/>
              </w:rPr>
            </w:pPr>
          </w:p>
        </w:tc>
        <w:tc>
          <w:tcPr>
            <w:tcW w:w="1347"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right="0"/>
              <w:jc w:val="center"/>
              <w:rPr>
                <w:rFonts w:ascii="Times New Roman"/>
                <w:sz w:val="18"/>
                <w:szCs w:val="18"/>
                <w:lang w:eastAsia="zh-CN"/>
              </w:rPr>
            </w:pPr>
            <w:r>
              <w:rPr>
                <w:rFonts w:hint="default"/>
                <w:sz w:val="18"/>
                <w:szCs w:val="18"/>
                <w:lang w:eastAsia="zh-CN"/>
              </w:rPr>
              <w:t>其它</w:t>
            </w:r>
            <w:r>
              <w:rPr>
                <w:rFonts w:ascii="Times New Roman"/>
                <w:sz w:val="18"/>
                <w:szCs w:val="18"/>
                <w:lang w:eastAsia="zh-CN"/>
              </w:rPr>
              <w:t>PCDF</w:t>
            </w:r>
            <w:r>
              <w:rPr>
                <w:rFonts w:ascii="Times New Roman"/>
                <w:sz w:val="18"/>
                <w:szCs w:val="18"/>
                <w:vertAlign w:val="baseline"/>
                <w:lang w:eastAsia="zh-CN"/>
              </w:rPr>
              <w:t>S</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c>
          <w:tcPr>
            <w:tcW w:w="1010" w:type="pct"/>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before="0"/>
              <w:ind w:left="0"/>
              <w:jc w:val="center"/>
              <w:rPr>
                <w:rFonts w:ascii="Times New Roman"/>
                <w:sz w:val="18"/>
                <w:szCs w:val="18"/>
                <w:lang w:eastAsia="zh-CN"/>
              </w:rPr>
            </w:pPr>
            <w:r>
              <w:rPr>
                <w:rFonts w:ascii="Times New Roman"/>
                <w:sz w:val="18"/>
                <w:szCs w:val="18"/>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autoSpaceDE/>
              <w:autoSpaceDN/>
              <w:spacing w:line="240" w:lineRule="auto"/>
              <w:ind w:left="0" w:right="0"/>
              <w:jc w:val="both"/>
              <w:rPr>
                <w:sz w:val="18"/>
                <w:szCs w:val="18"/>
                <w:lang w:eastAsia="zh-CN"/>
              </w:rPr>
            </w:pPr>
            <w:r>
              <w:rPr>
                <w:rFonts w:hint="default"/>
                <w:sz w:val="18"/>
                <w:szCs w:val="18"/>
                <w:lang w:eastAsia="zh-CN"/>
              </w:rPr>
              <w:t>注：</w:t>
            </w:r>
            <w:r>
              <w:rPr>
                <w:sz w:val="18"/>
                <w:szCs w:val="18"/>
                <w:vertAlign w:val="superscript"/>
              </w:rPr>
              <w:t>(a)</w:t>
            </w:r>
            <w:r>
              <w:rPr>
                <w:rFonts w:hint="default"/>
                <w:sz w:val="18"/>
                <w:szCs w:val="18"/>
                <w:lang w:eastAsia="zh-CN"/>
              </w:rPr>
              <w:t>多氯代二苯并</w:t>
            </w:r>
            <w:r>
              <w:rPr>
                <w:rFonts w:ascii="Times New Roman"/>
                <w:sz w:val="18"/>
                <w:szCs w:val="18"/>
                <w:lang w:eastAsia="zh-CN"/>
              </w:rPr>
              <w:t>-</w:t>
            </w:r>
            <w:r>
              <w:rPr>
                <w:rFonts w:hint="default"/>
                <w:sz w:val="18"/>
                <w:szCs w:val="18"/>
                <w:lang w:eastAsia="zh-CN"/>
              </w:rPr>
              <w:t>对</w:t>
            </w:r>
            <w:r>
              <w:rPr>
                <w:rFonts w:ascii="Times New Roman"/>
                <w:sz w:val="18"/>
                <w:szCs w:val="18"/>
                <w:lang w:eastAsia="zh-CN"/>
              </w:rPr>
              <w:t>-</w:t>
            </w:r>
            <w:r>
              <w:rPr>
                <w:rFonts w:hint="default"/>
                <w:sz w:val="18"/>
                <w:szCs w:val="18"/>
                <w:lang w:eastAsia="zh-CN"/>
              </w:rPr>
              <w:t>二噁英；</w:t>
            </w:r>
          </w:p>
          <w:p>
            <w:pPr>
              <w:autoSpaceDE/>
              <w:autoSpaceDN/>
              <w:spacing w:line="240" w:lineRule="auto"/>
              <w:ind w:left="0" w:right="0" w:firstLine="360" w:firstLineChars="200"/>
              <w:jc w:val="both"/>
              <w:rPr>
                <w:sz w:val="18"/>
                <w:szCs w:val="18"/>
                <w:lang w:eastAsia="zh-CN"/>
              </w:rPr>
            </w:pPr>
            <w:r>
              <w:rPr>
                <w:rFonts w:ascii="Times New Roman"/>
                <w:sz w:val="18"/>
                <w:szCs w:val="18"/>
                <w:vertAlign w:val="superscript"/>
                <w:lang w:eastAsia="zh-CN"/>
              </w:rPr>
              <w:t>(b)</w:t>
            </w:r>
            <w:r>
              <w:rPr>
                <w:rFonts w:hint="default"/>
                <w:sz w:val="18"/>
                <w:szCs w:val="18"/>
                <w:lang w:eastAsia="zh-CN"/>
              </w:rPr>
              <w:t>多氯代二苯并呋喃。</w:t>
            </w:r>
          </w:p>
        </w:tc>
      </w:tr>
    </w:tbl>
    <w:p>
      <w:pPr>
        <w:pStyle w:val="42"/>
        <w:spacing w:line="300" w:lineRule="auto"/>
        <w:rPr>
          <w:rFonts w:hint="eastAsia" w:ascii="Times New Roman" w:hAnsi="Times New Roman"/>
          <w:sz w:val="21"/>
        </w:rPr>
      </w:pPr>
    </w:p>
    <w:p>
      <w:pPr>
        <w:spacing w:before="9"/>
        <w:rPr>
          <w:rFonts w:hint="eastAsia"/>
        </w:rPr>
      </w:pPr>
    </w:p>
    <w:p>
      <w:pPr>
        <w:spacing w:line="277" w:lineRule="exact"/>
        <w:rPr>
          <w:rFonts w:ascii="宋体" w:hAnsi="宋体" w:eastAsia="宋体" w:cs="宋体"/>
          <w:sz w:val="21"/>
          <w:szCs w:val="21"/>
        </w:rPr>
      </w:pPr>
    </w:p>
    <w:sectPr>
      <w:headerReference r:id="rId11" w:type="default"/>
      <w:footerReference r:id="rId13" w:type="default"/>
      <w:headerReference r:id="rId12" w:type="even"/>
      <w:footerReference r:id="rId14" w:type="even"/>
      <w:pgSz w:w="11906" w:h="16838"/>
      <w:pgMar w:top="1701" w:right="1417" w:bottom="1314" w:left="1417" w:header="1134" w:footer="113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微软雅黑">
    <w:altName w:val="黑体"/>
    <w:panose1 w:val="020B0503020204020204"/>
    <w:charset w:val="86"/>
    <w:family w:val="auto"/>
    <w:pitch w:val="default"/>
    <w:sig w:usb0="00000000" w:usb1="00000000" w:usb2="00000016" w:usb3="00000000" w:csb0="0004001F" w:csb1="00000000"/>
  </w:font>
  <w:font w:name="Arial Unicode MS">
    <w:altName w:val="Times New Roman"/>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351"/>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351"/>
        <w:tab w:val="clear" w:pos="4153"/>
      </w:tabs>
    </w:pPr>
    <w:r>
      <w:rPr>
        <w:rFonts w:hint="eastAsia" w:eastAsia="宋体"/>
        <w:lang w:eastAsia="zh-CN"/>
      </w:rPr>
      <w:tab/>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351"/>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2" w:line="237" w:lineRule="auto"/>
      <w:jc w:val="right"/>
      <w:rPr>
        <w:spacing w:val="-1"/>
      </w:rPr>
    </w:pPr>
  </w:p>
  <w:p>
    <w:pPr>
      <w:pStyle w:val="3"/>
      <w:spacing w:before="42" w:line="237" w:lineRule="auto"/>
      <w:jc w:val="right"/>
      <w:rPr>
        <w:spacing w:val="-1"/>
      </w:rPr>
    </w:pPr>
  </w:p>
  <w:p>
    <w:pPr>
      <w:pStyle w:val="3"/>
      <w:spacing w:before="42" w:line="237" w:lineRule="auto"/>
      <w:jc w:val="right"/>
      <w:rPr>
        <w:spacing w:val="-1"/>
      </w:rPr>
    </w:pPr>
  </w:p>
  <w:p>
    <w:pPr>
      <w:pStyle w:val="3"/>
      <w:spacing w:before="42" w:line="237" w:lineRule="auto"/>
      <w:jc w:val="right"/>
    </w:pPr>
    <w:r>
      <w:rPr>
        <w:spacing w:val="-1"/>
      </w:rPr>
      <w:t>DB</w:t>
    </w:r>
    <w:r>
      <w:rPr>
        <w:rFonts w:hint="eastAsia"/>
        <w:spacing w:val="-1"/>
        <w:lang w:val="en-US" w:eastAsia="zh-CN"/>
      </w:rPr>
      <w:t>12</w:t>
    </w:r>
    <w:r>
      <w:rPr>
        <w:spacing w:val="-1"/>
      </w:rPr>
      <w:t>/</w:t>
    </w:r>
    <w:r>
      <w:rPr>
        <w:rFonts w:hint="eastAsia"/>
        <w:spacing w:val="-1"/>
        <w:lang w:val="en-US" w:eastAsia="zh-CN"/>
      </w:rPr>
      <w:t xml:space="preserve">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2" w:line="237" w:lineRule="auto"/>
      <w:jc w:val="right"/>
      <w:rPr>
        <w:spacing w:val="-1"/>
      </w:rPr>
    </w:pPr>
  </w:p>
  <w:p>
    <w:pPr>
      <w:pStyle w:val="3"/>
      <w:spacing w:before="42" w:line="237" w:lineRule="auto"/>
      <w:jc w:val="right"/>
      <w:rPr>
        <w:spacing w:val="-1"/>
      </w:rPr>
    </w:pPr>
  </w:p>
  <w:p>
    <w:pPr>
      <w:pStyle w:val="3"/>
      <w:spacing w:before="42" w:line="237" w:lineRule="auto"/>
      <w:jc w:val="right"/>
      <w:rPr>
        <w:spacing w:val="-1"/>
      </w:rPr>
    </w:pPr>
  </w:p>
  <w:p>
    <w:pPr>
      <w:pStyle w:val="3"/>
      <w:spacing w:before="42" w:line="237" w:lineRule="auto"/>
      <w:jc w:val="right"/>
    </w:pPr>
    <w:r>
      <w:rPr>
        <w:spacing w:val="-1"/>
      </w:rPr>
      <w:t>DB</w:t>
    </w:r>
    <w:r>
      <w:rPr>
        <w:rFonts w:hint="eastAsia"/>
        <w:spacing w:val="-1"/>
        <w:lang w:val="en-US" w:eastAsia="zh-CN"/>
      </w:rPr>
      <w:t>12</w:t>
    </w:r>
    <w:r>
      <w:rPr>
        <w:spacing w:val="-1"/>
      </w:rPr>
      <w:t>/</w:t>
    </w:r>
    <w:r>
      <w:rPr>
        <w:rFonts w:hint="eastAsia"/>
        <w:spacing w:val="-1"/>
        <w:lang w:val="en-US" w:eastAsia="zh-CN"/>
      </w:rPr>
      <w:t xml:space="preserve">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2" w:line="237" w:lineRule="auto"/>
      <w:jc w:val="right"/>
    </w:pPr>
    <w:r>
      <w:rPr>
        <w:spacing w:val="-1"/>
      </w:rPr>
      <w:t>DB</w:t>
    </w:r>
    <w:r>
      <w:rPr>
        <w:rFonts w:hint="eastAsia"/>
        <w:spacing w:val="-1"/>
        <w:lang w:val="en-US" w:eastAsia="zh-CN"/>
      </w:rPr>
      <w:t>12</w:t>
    </w:r>
    <w:r>
      <w:rPr>
        <w:spacing w:val="-1"/>
      </w:rPr>
      <w:t>/</w:t>
    </w:r>
    <w:r>
      <w:rPr>
        <w:rFonts w:hint="eastAsia"/>
        <w:spacing w:val="-1"/>
        <w:lang w:val="en-US" w:eastAsia="zh-CN"/>
      </w:rPr>
      <w:t xml:space="preserve">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2" w:line="237" w:lineRule="auto"/>
      <w:jc w:val="left"/>
    </w:pPr>
    <w:r>
      <w:rPr>
        <w:spacing w:val="-1"/>
      </w:rPr>
      <w:t>DB</w:t>
    </w:r>
    <w:r>
      <w:rPr>
        <w:rFonts w:hint="eastAsia"/>
        <w:spacing w:val="-1"/>
        <w:lang w:val="en-US" w:eastAsia="zh-CN"/>
      </w:rPr>
      <w:t>12</w:t>
    </w:r>
    <w:r>
      <w:rPr>
        <w:spacing w:val="-1"/>
      </w:rPr>
      <w:t>/</w:t>
    </w:r>
    <w:r>
      <w:rPr>
        <w:rFonts w:hint="eastAsia"/>
        <w:spacing w:val="-1"/>
        <w:lang w:val="en-US" w:eastAsia="zh-CN"/>
      </w:rP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46260FA"/>
    <w:multiLevelType w:val="multilevel"/>
    <w:tmpl w:val="646260FA"/>
    <w:lvl w:ilvl="0" w:tentative="0">
      <w:start w:val="1"/>
      <w:numFmt w:val="decimal"/>
      <w:pStyle w:val="3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57D3FBC"/>
    <w:multiLevelType w:val="multilevel"/>
    <w:tmpl w:val="657D3FBC"/>
    <w:lvl w:ilvl="0" w:tentative="0">
      <w:start w:val="1"/>
      <w:numFmt w:val="upperLetter"/>
      <w:pStyle w:val="36"/>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7"/>
      <w:suff w:val="nothing"/>
      <w:lvlText w:val="%1%2　"/>
      <w:lvlJc w:val="left"/>
      <w:pPr>
        <w:ind w:left="0" w:firstLine="0"/>
      </w:pPr>
      <w:rPr>
        <w:rFonts w:hint="eastAsia" w:ascii="黑体" w:eastAsia="黑体"/>
        <w:b w:val="0"/>
        <w:i w:val="0"/>
        <w:sz w:val="21"/>
      </w:rPr>
    </w:lvl>
    <w:lvl w:ilvl="2" w:tentative="0">
      <w:start w:val="1"/>
      <w:numFmt w:val="decimal"/>
      <w:pStyle w:val="3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pStyle w:val="3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Y0ZDQ5NzExYjk0ODM5ODBkNzQzNGVhMWExMDMzNGUifQ=="/>
  </w:docVars>
  <w:rsids>
    <w:rsidRoot w:val="00000000"/>
    <w:rsid w:val="00C24BA8"/>
    <w:rsid w:val="03087393"/>
    <w:rsid w:val="031740AF"/>
    <w:rsid w:val="03BC4BD4"/>
    <w:rsid w:val="03E53DB2"/>
    <w:rsid w:val="03F41762"/>
    <w:rsid w:val="047B58FE"/>
    <w:rsid w:val="055D3800"/>
    <w:rsid w:val="05D6668E"/>
    <w:rsid w:val="068C5C42"/>
    <w:rsid w:val="07CA4C73"/>
    <w:rsid w:val="08976C47"/>
    <w:rsid w:val="098412F1"/>
    <w:rsid w:val="0A084163"/>
    <w:rsid w:val="0A232419"/>
    <w:rsid w:val="0B464611"/>
    <w:rsid w:val="0B7A250D"/>
    <w:rsid w:val="0BA25F56"/>
    <w:rsid w:val="0BAD28E2"/>
    <w:rsid w:val="0BDC70EB"/>
    <w:rsid w:val="0C73386A"/>
    <w:rsid w:val="0CA901C6"/>
    <w:rsid w:val="0DA01F17"/>
    <w:rsid w:val="0DF331CF"/>
    <w:rsid w:val="0F6550F1"/>
    <w:rsid w:val="1028716B"/>
    <w:rsid w:val="1134315E"/>
    <w:rsid w:val="11734152"/>
    <w:rsid w:val="12BB41B0"/>
    <w:rsid w:val="13912FD6"/>
    <w:rsid w:val="13A14ACD"/>
    <w:rsid w:val="13BF7656"/>
    <w:rsid w:val="14450499"/>
    <w:rsid w:val="15CE592F"/>
    <w:rsid w:val="1601219D"/>
    <w:rsid w:val="168F3F74"/>
    <w:rsid w:val="16A656B7"/>
    <w:rsid w:val="16D63FE0"/>
    <w:rsid w:val="175B5B1F"/>
    <w:rsid w:val="17AB6CE0"/>
    <w:rsid w:val="184804FF"/>
    <w:rsid w:val="193E64EA"/>
    <w:rsid w:val="1AAC0209"/>
    <w:rsid w:val="1B316027"/>
    <w:rsid w:val="1B5744E8"/>
    <w:rsid w:val="1CE83EB9"/>
    <w:rsid w:val="1D24052A"/>
    <w:rsid w:val="1E974007"/>
    <w:rsid w:val="1EDE6023"/>
    <w:rsid w:val="1EFE248B"/>
    <w:rsid w:val="1F513485"/>
    <w:rsid w:val="1FFB58CE"/>
    <w:rsid w:val="1FFE1506"/>
    <w:rsid w:val="20101F38"/>
    <w:rsid w:val="202E4C86"/>
    <w:rsid w:val="208A0FEC"/>
    <w:rsid w:val="20A0611A"/>
    <w:rsid w:val="20BD4F1E"/>
    <w:rsid w:val="21B92E43"/>
    <w:rsid w:val="230B288A"/>
    <w:rsid w:val="24DF2E79"/>
    <w:rsid w:val="25331C52"/>
    <w:rsid w:val="260B25F1"/>
    <w:rsid w:val="261E645E"/>
    <w:rsid w:val="27345D06"/>
    <w:rsid w:val="27461BD8"/>
    <w:rsid w:val="28E164AC"/>
    <w:rsid w:val="294A30C6"/>
    <w:rsid w:val="2973086F"/>
    <w:rsid w:val="298A1EB4"/>
    <w:rsid w:val="2A4144C9"/>
    <w:rsid w:val="2A6920F5"/>
    <w:rsid w:val="2C1B6A0E"/>
    <w:rsid w:val="2D625764"/>
    <w:rsid w:val="2DBF1D66"/>
    <w:rsid w:val="2DF06932"/>
    <w:rsid w:val="2E374561"/>
    <w:rsid w:val="2F09154A"/>
    <w:rsid w:val="2FDD2EE6"/>
    <w:rsid w:val="31893E7A"/>
    <w:rsid w:val="323F1C36"/>
    <w:rsid w:val="337A7536"/>
    <w:rsid w:val="346967BA"/>
    <w:rsid w:val="34EF234C"/>
    <w:rsid w:val="34FB796B"/>
    <w:rsid w:val="36413AA3"/>
    <w:rsid w:val="373E125A"/>
    <w:rsid w:val="37611D6C"/>
    <w:rsid w:val="38EC5F48"/>
    <w:rsid w:val="39464717"/>
    <w:rsid w:val="397671D7"/>
    <w:rsid w:val="3AFC0AEF"/>
    <w:rsid w:val="3B251BE5"/>
    <w:rsid w:val="3C1934F8"/>
    <w:rsid w:val="3CC167CC"/>
    <w:rsid w:val="3E3064D5"/>
    <w:rsid w:val="3E3C1720"/>
    <w:rsid w:val="3E730D7F"/>
    <w:rsid w:val="40017A80"/>
    <w:rsid w:val="41436921"/>
    <w:rsid w:val="4187464B"/>
    <w:rsid w:val="434B5F61"/>
    <w:rsid w:val="43502BAF"/>
    <w:rsid w:val="439A1ADE"/>
    <w:rsid w:val="43BD0F31"/>
    <w:rsid w:val="446217B4"/>
    <w:rsid w:val="468E4AE3"/>
    <w:rsid w:val="47497073"/>
    <w:rsid w:val="47B076B0"/>
    <w:rsid w:val="48AF47C8"/>
    <w:rsid w:val="48E77164"/>
    <w:rsid w:val="498D1081"/>
    <w:rsid w:val="4A2C0F5E"/>
    <w:rsid w:val="4B413ED2"/>
    <w:rsid w:val="4BD72A88"/>
    <w:rsid w:val="4C4E6D65"/>
    <w:rsid w:val="4D034AFE"/>
    <w:rsid w:val="4D136FA7"/>
    <w:rsid w:val="4D5D4A63"/>
    <w:rsid w:val="4E517FEC"/>
    <w:rsid w:val="4E546612"/>
    <w:rsid w:val="4EFC6FAA"/>
    <w:rsid w:val="516401E3"/>
    <w:rsid w:val="51A92AAA"/>
    <w:rsid w:val="524D7600"/>
    <w:rsid w:val="53034396"/>
    <w:rsid w:val="54E81862"/>
    <w:rsid w:val="558A2919"/>
    <w:rsid w:val="55A34E1F"/>
    <w:rsid w:val="56290E65"/>
    <w:rsid w:val="5A6B0F6B"/>
    <w:rsid w:val="5A727B9C"/>
    <w:rsid w:val="5BA65A7D"/>
    <w:rsid w:val="5CFD7E74"/>
    <w:rsid w:val="5D066D29"/>
    <w:rsid w:val="5E9640DD"/>
    <w:rsid w:val="5EE412EC"/>
    <w:rsid w:val="5F4F2A9A"/>
    <w:rsid w:val="5FE315A4"/>
    <w:rsid w:val="60196D73"/>
    <w:rsid w:val="601B453C"/>
    <w:rsid w:val="60B80627"/>
    <w:rsid w:val="614C4F26"/>
    <w:rsid w:val="62946B85"/>
    <w:rsid w:val="62A50A9C"/>
    <w:rsid w:val="63E22C12"/>
    <w:rsid w:val="6550109B"/>
    <w:rsid w:val="669356D8"/>
    <w:rsid w:val="69C064B2"/>
    <w:rsid w:val="69E91EAC"/>
    <w:rsid w:val="6A7F0D60"/>
    <w:rsid w:val="6B261BEF"/>
    <w:rsid w:val="6CAB36D8"/>
    <w:rsid w:val="6CC26200"/>
    <w:rsid w:val="6E00321F"/>
    <w:rsid w:val="6E1F7C4B"/>
    <w:rsid w:val="6EAC5256"/>
    <w:rsid w:val="70C7611C"/>
    <w:rsid w:val="73531311"/>
    <w:rsid w:val="74313CA7"/>
    <w:rsid w:val="75A440E2"/>
    <w:rsid w:val="76980C07"/>
    <w:rsid w:val="7731279D"/>
    <w:rsid w:val="7960224F"/>
    <w:rsid w:val="7B971768"/>
    <w:rsid w:val="7BB8348D"/>
    <w:rsid w:val="7BE20509"/>
    <w:rsid w:val="7C185455"/>
    <w:rsid w:val="7C190C71"/>
    <w:rsid w:val="7D6E02A7"/>
    <w:rsid w:val="7DC10B0F"/>
    <w:rsid w:val="7E8D0C00"/>
    <w:rsid w:val="ABEFA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99"/>
    <w:pPr>
      <w:tabs>
        <w:tab w:val="center" w:pos="4153"/>
        <w:tab w:val="right" w:pos="8306"/>
      </w:tabs>
      <w:adjustRightInd/>
      <w:snapToGrid w:val="0"/>
      <w:jc w:val="center"/>
    </w:pPr>
    <w:rPr>
      <w:sz w:val="18"/>
      <w:szCs w:val="18"/>
    </w:rPr>
  </w:style>
  <w:style w:type="paragraph" w:styleId="6">
    <w:name w:val="toc 1"/>
    <w:basedOn w:val="1"/>
    <w:next w:val="1"/>
    <w:qFormat/>
    <w:uiPriority w:val="0"/>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Times New Roman" w:hAnsi="Times New Roman" w:eastAsia="Times New Roman" w:cs="Times New Roman"/>
      <w:sz w:val="21"/>
      <w:szCs w:val="21"/>
      <w:lang w:val="en-US" w:eastAsia="en-US" w:bidi="ar-SA"/>
    </w:rPr>
  </w:style>
  <w:style w:type="paragraph" w:customStyle="1" w:styleId="1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5">
    <w:name w:val="标准文件_文件编号"/>
    <w:basedOn w:val="1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替换文件编号"/>
    <w:basedOn w:val="15"/>
    <w:qFormat/>
    <w:uiPriority w:val="0"/>
    <w:pPr>
      <w:spacing w:before="57"/>
    </w:pPr>
    <w:rPr>
      <w:sz w:val="21"/>
    </w:rPr>
  </w:style>
  <w:style w:type="paragraph" w:customStyle="1" w:styleId="18">
    <w:name w:val="标准文件_文件名称"/>
    <w:basedOn w:val="16"/>
    <w:next w:val="1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
    <w:name w:val="其他发布日期"/>
    <w:basedOn w:val="21"/>
    <w:qFormat/>
    <w:uiPriority w:val="0"/>
    <w:pPr>
      <w:framePr w:w="3997" w:h="471" w:hRule="exact" w:hSpace="0" w:vSpace="181" w:wrap="around" w:vAnchor="page" w:hAnchor="page" w:x="1419" w:y="14097"/>
    </w:pPr>
  </w:style>
  <w:style w:type="paragraph" w:customStyle="1" w:styleId="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2">
    <w:name w:val="其他实施日期"/>
    <w:basedOn w:val="23"/>
    <w:qFormat/>
    <w:uiPriority w:val="0"/>
    <w:pPr>
      <w:framePr w:w="3997" w:h="471" w:hRule="exact" w:vSpace="181" w:wrap="around" w:vAnchor="page" w:hAnchor="page" w:x="7089" w:y="14097"/>
    </w:pPr>
  </w:style>
  <w:style w:type="paragraph" w:customStyle="1" w:styleId="23">
    <w:name w:val="实施日期"/>
    <w:basedOn w:val="21"/>
    <w:qFormat/>
    <w:uiPriority w:val="0"/>
    <w:pPr>
      <w:framePr w:hSpace="0" w:wrap="around" w:xAlign="right"/>
      <w:jc w:val="right"/>
    </w:pPr>
  </w:style>
  <w:style w:type="paragraph" w:customStyle="1" w:styleId="24">
    <w:name w:val="其他发布部门"/>
    <w:basedOn w:val="25"/>
    <w:qFormat/>
    <w:uiPriority w:val="0"/>
    <w:pPr>
      <w:framePr w:wrap="around"/>
      <w:spacing w:line="0" w:lineRule="atLeast"/>
    </w:pPr>
    <w:rPr>
      <w:rFonts w:ascii="黑体" w:eastAsia="黑体"/>
      <w:b w:val="0"/>
    </w:rPr>
  </w:style>
  <w:style w:type="paragraph" w:customStyle="1" w:styleId="25">
    <w:name w:val="发布部门"/>
    <w:next w:val="1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6">
    <w:name w:val="发布"/>
    <w:basedOn w:val="9"/>
    <w:qFormat/>
    <w:uiPriority w:val="0"/>
    <w:rPr>
      <w:rFonts w:ascii="黑体" w:eastAsia="黑体"/>
      <w:spacing w:val="85"/>
      <w:w w:val="100"/>
      <w:position w:val="3"/>
      <w:sz w:val="28"/>
      <w:szCs w:val="28"/>
    </w:rPr>
  </w:style>
  <w:style w:type="paragraph" w:customStyle="1" w:styleId="27">
    <w:name w:val="标准文件_章标题"/>
    <w:next w:val="16"/>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
    <w:name w:val="标准文件_术语条一"/>
    <w:basedOn w:val="29"/>
    <w:next w:val="16"/>
    <w:link w:val="31"/>
    <w:qFormat/>
    <w:uiPriority w:val="0"/>
  </w:style>
  <w:style w:type="paragraph" w:customStyle="1" w:styleId="29">
    <w:name w:val="标准文件_一级无标题"/>
    <w:basedOn w:val="30"/>
    <w:qFormat/>
    <w:uiPriority w:val="0"/>
    <w:pPr>
      <w:spacing w:before="0" w:beforeLines="0" w:after="0" w:afterLines="0"/>
      <w:outlineLvl w:val="9"/>
    </w:pPr>
    <w:rPr>
      <w:rFonts w:ascii="宋体" w:eastAsia="宋体"/>
    </w:rPr>
  </w:style>
  <w:style w:type="paragraph" w:customStyle="1" w:styleId="30">
    <w:name w:val="标准文件_一级条标题"/>
    <w:basedOn w:val="27"/>
    <w:next w:val="16"/>
    <w:qFormat/>
    <w:uiPriority w:val="0"/>
    <w:pPr>
      <w:numPr>
        <w:ilvl w:val="2"/>
      </w:numPr>
      <w:spacing w:before="50" w:beforeLines="50" w:after="50" w:afterLines="50"/>
      <w:outlineLvl w:val="1"/>
    </w:pPr>
  </w:style>
  <w:style w:type="character" w:customStyle="1" w:styleId="31">
    <w:name w:val="标准文件_术语条一 Char"/>
    <w:link w:val="28"/>
    <w:qFormat/>
    <w:uiPriority w:val="0"/>
  </w:style>
  <w:style w:type="paragraph" w:customStyle="1" w:styleId="32">
    <w:name w:val="标准文件_二级条标题"/>
    <w:next w:val="16"/>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3">
    <w:name w:val="标准文件_三级无标题"/>
    <w:basedOn w:val="34"/>
    <w:qFormat/>
    <w:uiPriority w:val="0"/>
    <w:pPr>
      <w:spacing w:before="0" w:beforeLines="0" w:after="0" w:afterLines="0"/>
      <w:outlineLvl w:val="9"/>
    </w:pPr>
    <w:rPr>
      <w:rFonts w:ascii="宋体" w:eastAsia="宋体"/>
    </w:rPr>
  </w:style>
  <w:style w:type="paragraph" w:customStyle="1" w:styleId="34">
    <w:name w:val="标准文件_三级条标题"/>
    <w:basedOn w:val="32"/>
    <w:next w:val="16"/>
    <w:qFormat/>
    <w:uiPriority w:val="0"/>
    <w:pPr>
      <w:widowControl/>
      <w:numPr>
        <w:ilvl w:val="4"/>
      </w:numPr>
      <w:outlineLvl w:val="3"/>
    </w:pPr>
  </w:style>
  <w:style w:type="paragraph" w:customStyle="1" w:styleId="35">
    <w:name w:val="标准文件_正文表标题"/>
    <w:next w:val="16"/>
    <w:qFormat/>
    <w:uiPriority w:val="0"/>
    <w:pPr>
      <w:numPr>
        <w:ilvl w:val="0"/>
        <w:numId w:val="2"/>
      </w:numPr>
      <w:spacing w:before="50" w:beforeLines="50" w:after="50" w:afterLines="50"/>
      <w:jc w:val="center"/>
    </w:pPr>
    <w:rPr>
      <w:rFonts w:ascii="黑体" w:hAnsi="Times New Roman" w:eastAsia="黑体" w:cs="Times New Roman"/>
      <w:sz w:val="21"/>
      <w:lang w:val="en-US" w:eastAsia="zh-CN" w:bidi="ar-SA"/>
    </w:rPr>
  </w:style>
  <w:style w:type="paragraph" w:customStyle="1" w:styleId="36">
    <w:name w:val="标准文件_附录标识"/>
    <w:next w:val="16"/>
    <w:qFormat/>
    <w:uiPriority w:val="0"/>
    <w:pPr>
      <w:numPr>
        <w:ilvl w:val="0"/>
        <w:numId w:val="3"/>
      </w:numPr>
      <w:shd w:val="clear" w:color="FFFFFF" w:fill="FFFFFF"/>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7">
    <w:name w:val="附录章标题"/>
    <w:next w:val="10"/>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8">
    <w:name w:val="标准文件_附录表标题"/>
    <w:next w:val="16"/>
    <w:qFormat/>
    <w:uiPriority w:val="0"/>
    <w:pPr>
      <w:numPr>
        <w:ilvl w:val="1"/>
        <w:numId w:val="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3">
    <w:name w:val="一级条标题"/>
    <w:basedOn w:val="44"/>
    <w:next w:val="10"/>
    <w:qFormat/>
    <w:uiPriority w:val="0"/>
    <w:pPr>
      <w:numPr>
        <w:ilvl w:val="1"/>
        <w:numId w:val="5"/>
      </w:numPr>
      <w:spacing w:before="156" w:beforeLines="50" w:after="156" w:afterLines="50"/>
      <w:outlineLvl w:val="2"/>
    </w:pPr>
    <w:rPr>
      <w:rFonts w:ascii="黑体" w:eastAsia="黑体"/>
      <w:sz w:val="21"/>
      <w:szCs w:val="21"/>
      <w:lang w:val="en-US" w:eastAsia="zh-CN" w:bidi="ar-SA"/>
    </w:rPr>
  </w:style>
  <w:style w:type="paragraph" w:customStyle="1" w:styleId="44">
    <w:name w:val="章标题"/>
    <w:next w:val="10"/>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image" Target="media/image1.tif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7098</Words>
  <Characters>8949</Characters>
  <TotalTime>15</TotalTime>
  <ScaleCrop>false</ScaleCrop>
  <LinksUpToDate>false</LinksUpToDate>
  <CharactersWithSpaces>9482</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2024-03-22T09:50:00Z</dcterms:created>
  <dc:creator>Administrator</dc:creator>
  <cp:lastModifiedBy>greatwall</cp:lastModifiedBy>
  <cp:lastPrinted>2025-07-10T16:06:00Z</cp:lastPrinted>
  <dcterms:modified xsi:type="dcterms:W3CDTF">2026-05-11T16:39:08Z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2024-03-20T16:47:32Z</vt:filetime>
  </property>
  <property fmtid="{D5CDD505-2E9C-101B-9397-08002B2CF9AE}" pid="4" name="KSOProductBuildVer">
    <vt:lpwstr>2052-11.8.2.12019</vt:lpwstr>
  </property>
  <property fmtid="{D5CDD505-2E9C-101B-9397-08002B2CF9AE}" pid="5" name="ICV">
    <vt:lpwstr>0B64DD94C8E74D26B50ED77B2FEE2E39_13</vt:lpwstr>
  </property>
  <property fmtid="{D5CDD505-2E9C-101B-9397-08002B2CF9AE}" pid="6" name="KSOTemplateDocerSaveRecord">
    <vt:lpwstr>eyJoZGlkIjoiZGMwNmJiZDNlNzIzMThkYmRjOThlYTVlODViZmVjMjgiLCJ1c2VySWQiOiIzOTE5MDg3MjUifQ==</vt:lpwstr>
  </property>
</Properties>
</file>